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E5D42">
      <w:pPr>
        <w:pStyle w:val="2"/>
        <w:spacing w:beforeAutospacing="0" w:afterAutospacing="0"/>
        <w:jc w:val="center"/>
        <w:rPr>
          <w:rFonts w:asciiTheme="minorEastAsia" w:hAnsiTheme="minorEastAsia" w:eastAsiaTheme="minorEastAsia" w:cstheme="minorEastAsia"/>
          <w:color w:val="000000" w:themeColor="text1"/>
          <w:sz w:val="78"/>
          <w:szCs w:val="78"/>
          <w14:textFill>
            <w14:solidFill>
              <w14:schemeClr w14:val="tx1"/>
            </w14:solidFill>
          </w14:textFill>
        </w:rPr>
      </w:pPr>
    </w:p>
    <w:p w14:paraId="034C8A57">
      <w:pPr>
        <w:pStyle w:val="2"/>
        <w:spacing w:beforeAutospacing="0" w:afterAutospacing="0"/>
        <w:jc w:val="center"/>
        <w:rPr>
          <w:rFonts w:asciiTheme="minorEastAsia" w:hAnsiTheme="minorEastAsia" w:eastAsiaTheme="minorEastAsia" w:cstheme="minorEastAsia"/>
          <w:color w:val="000000" w:themeColor="text1"/>
          <w:sz w:val="78"/>
          <w:szCs w:val="78"/>
          <w14:textFill>
            <w14:solidFill>
              <w14:schemeClr w14:val="tx1"/>
            </w14:solidFill>
          </w14:textFill>
        </w:rPr>
      </w:pPr>
      <w:r>
        <w:rPr>
          <w:rFonts w:asciiTheme="minorEastAsia" w:hAnsiTheme="minorEastAsia" w:eastAsiaTheme="minorEastAsia" w:cstheme="minorEastAsia"/>
          <w:color w:val="000000" w:themeColor="text1"/>
          <w:sz w:val="78"/>
          <w:szCs w:val="78"/>
          <w14:textFill>
            <w14:solidFill>
              <w14:schemeClr w14:val="tx1"/>
            </w14:solidFill>
          </w14:textFill>
        </w:rPr>
        <w:t>福建省政府采购项目</w:t>
      </w:r>
    </w:p>
    <w:p w14:paraId="2A63EB85">
      <w:pPr>
        <w:pStyle w:val="2"/>
        <w:spacing w:beforeAutospacing="0" w:afterAutospacing="0"/>
        <w:jc w:val="center"/>
        <w:rPr>
          <w:rFonts w:asciiTheme="minorEastAsia" w:hAnsiTheme="minorEastAsia" w:eastAsiaTheme="minorEastAsia" w:cstheme="minorEastAsia"/>
          <w:color w:val="000000" w:themeColor="text1"/>
          <w:sz w:val="78"/>
          <w:szCs w:val="78"/>
          <w14:textFill>
            <w14:solidFill>
              <w14:schemeClr w14:val="tx1"/>
            </w14:solidFill>
          </w14:textFill>
        </w:rPr>
      </w:pPr>
      <w:r>
        <w:rPr>
          <w:rFonts w:asciiTheme="minorEastAsia" w:hAnsiTheme="minorEastAsia" w:eastAsiaTheme="minorEastAsia" w:cstheme="minorEastAsia"/>
          <w:color w:val="000000" w:themeColor="text1"/>
          <w:sz w:val="78"/>
          <w:szCs w:val="78"/>
          <w14:textFill>
            <w14:solidFill>
              <w14:schemeClr w14:val="tx1"/>
            </w14:solidFill>
          </w14:textFill>
        </w:rPr>
        <w:t>竞争性磋商文件</w:t>
      </w:r>
    </w:p>
    <w:p w14:paraId="564F24D5">
      <w:pPr>
        <w:pStyle w:val="2"/>
        <w:spacing w:beforeAutospacing="0" w:afterAutospacing="0"/>
        <w:jc w:val="center"/>
        <w:rPr>
          <w:rFonts w:asciiTheme="minorEastAsia" w:hAnsiTheme="minorEastAsia" w:eastAsiaTheme="minorEastAsia" w:cstheme="minorEastAsia"/>
          <w:color w:val="000000" w:themeColor="text1"/>
          <w:sz w:val="78"/>
          <w:szCs w:val="78"/>
          <w14:textFill>
            <w14:solidFill>
              <w14:schemeClr w14:val="tx1"/>
            </w14:solidFill>
          </w14:textFill>
        </w:rPr>
      </w:pPr>
      <w:r>
        <w:rPr>
          <w:rFonts w:asciiTheme="minorEastAsia" w:hAnsiTheme="minorEastAsia" w:eastAsiaTheme="minorEastAsia" w:cstheme="minorEastAsia"/>
          <w:color w:val="000000" w:themeColor="text1"/>
          <w:sz w:val="78"/>
          <w:szCs w:val="78"/>
          <w14:textFill>
            <w14:solidFill>
              <w14:schemeClr w14:val="tx1"/>
            </w14:solidFill>
          </w14:textFill>
        </w:rPr>
        <w:t>（服务类）</w:t>
      </w:r>
    </w:p>
    <w:p w14:paraId="3544F637">
      <w:pPr>
        <w:rPr>
          <w:rFonts w:hint="eastAsia" w:asciiTheme="minorEastAsia" w:hAnsiTheme="minorEastAsia" w:cstheme="minorEastAsia"/>
          <w:b/>
          <w:bCs/>
          <w:color w:val="000000" w:themeColor="text1"/>
          <w:sz w:val="78"/>
          <w:szCs w:val="78"/>
          <w14:textFill>
            <w14:solidFill>
              <w14:schemeClr w14:val="tx1"/>
            </w14:solidFill>
          </w14:textFill>
        </w:rPr>
      </w:pPr>
    </w:p>
    <w:p w14:paraId="5A7B8587">
      <w:pPr>
        <w:pStyle w:val="4"/>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项目名称：中共福州市委党校后勤服务委托管理项目</w:t>
      </w:r>
    </w:p>
    <w:p w14:paraId="4FBE782A">
      <w:pPr>
        <w:pStyle w:val="4"/>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 xml:space="preserve">备案编号：CGXM-2026-350101-05596[2026]03705 </w:t>
      </w:r>
    </w:p>
    <w:p w14:paraId="5914C137">
      <w:pPr>
        <w:pStyle w:val="4"/>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项目编号：[350101]LCZ[CS]2026001</w:t>
      </w:r>
    </w:p>
    <w:p w14:paraId="0C4552A5">
      <w:pPr>
        <w:rPr>
          <w:rFonts w:hint="eastAsia" w:asciiTheme="minorEastAsia" w:hAnsiTheme="minorEastAsia" w:cstheme="minorEastAsia"/>
          <w:color w:val="000000" w:themeColor="text1"/>
          <w14:textFill>
            <w14:solidFill>
              <w14:schemeClr w14:val="tx1"/>
            </w14:solidFill>
          </w14:textFill>
        </w:rPr>
      </w:pPr>
    </w:p>
    <w:p w14:paraId="5A803A7D">
      <w:pPr>
        <w:rPr>
          <w:rFonts w:hint="eastAsia" w:asciiTheme="minorEastAsia" w:hAnsiTheme="minorEastAsia" w:cstheme="minorEastAsia"/>
          <w:color w:val="000000" w:themeColor="text1"/>
          <w14:textFill>
            <w14:solidFill>
              <w14:schemeClr w14:val="tx1"/>
            </w14:solidFill>
          </w14:textFill>
        </w:rPr>
      </w:pPr>
    </w:p>
    <w:p w14:paraId="0450B03F">
      <w:pPr>
        <w:pStyle w:val="4"/>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采购人：中国共产党福州市委员会党校</w:t>
      </w:r>
    </w:p>
    <w:p w14:paraId="26860468">
      <w:pPr>
        <w:pStyle w:val="4"/>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代理机构：福建立成招标代理有限公司</w:t>
      </w:r>
    </w:p>
    <w:p w14:paraId="7E63C100">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编制时间：2026年09月</w:t>
      </w:r>
    </w:p>
    <w:p w14:paraId="53F0182E">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 </w:t>
      </w:r>
    </w:p>
    <w:p w14:paraId="3CDC8E3A">
      <w:pPr>
        <w:rPr>
          <w:rFonts w:hint="eastAsia" w:asciiTheme="minorEastAsia" w:hAnsiTheme="minorEastAsia" w:cstheme="minorEastAsia"/>
          <w:color w:val="000000" w:themeColor="text1"/>
          <w:sz w:val="39"/>
          <w:szCs w:val="39"/>
          <w:shd w:val="clear" w:color="auto" w:fill="FFFFFF"/>
          <w14:textFill>
            <w14:solidFill>
              <w14:schemeClr w14:val="tx1"/>
            </w14:solidFill>
          </w14:textFill>
        </w:rPr>
      </w:pPr>
      <w:r>
        <w:rPr>
          <w:rFonts w:hint="eastAsia" w:asciiTheme="minorEastAsia" w:hAnsiTheme="minorEastAsia" w:cstheme="minorEastAsia"/>
          <w:color w:val="000000" w:themeColor="text1"/>
          <w:sz w:val="39"/>
          <w:szCs w:val="39"/>
          <w:shd w:val="clear" w:color="auto" w:fill="FFFFFF"/>
          <w14:textFill>
            <w14:solidFill>
              <w14:schemeClr w14:val="tx1"/>
            </w14:solidFill>
          </w14:textFill>
        </w:rPr>
        <w:br w:type="page"/>
      </w:r>
    </w:p>
    <w:p w14:paraId="74492806">
      <w:pPr>
        <w:pStyle w:val="3"/>
        <w:shd w:val="clear" w:color="auto" w:fill="FFFFFF"/>
        <w:spacing w:beforeAutospacing="0" w:afterAutospacing="0" w:line="480" w:lineRule="atLeast"/>
        <w:jc w:val="center"/>
        <w:rPr>
          <w:rFonts w:asciiTheme="minorEastAsia" w:hAnsiTheme="minorEastAsia" w:eastAsiaTheme="minorEastAsia" w:cstheme="minorEastAsia"/>
          <w:color w:val="000000" w:themeColor="text1"/>
          <w:sz w:val="39"/>
          <w:szCs w:val="39"/>
          <w14:textFill>
            <w14:solidFill>
              <w14:schemeClr w14:val="tx1"/>
            </w14:solidFill>
          </w14:textFill>
        </w:rPr>
      </w:pPr>
      <w:r>
        <w:rPr>
          <w:rFonts w:asciiTheme="minorEastAsia" w:hAnsiTheme="minorEastAsia" w:eastAsiaTheme="minorEastAsia" w:cstheme="minorEastAsia"/>
          <w:color w:val="000000" w:themeColor="text1"/>
          <w:sz w:val="39"/>
          <w:szCs w:val="39"/>
          <w:shd w:val="clear" w:color="auto" w:fill="FFFFFF"/>
          <w14:textFill>
            <w14:solidFill>
              <w14:schemeClr w14:val="tx1"/>
            </w14:solidFill>
          </w14:textFill>
        </w:rPr>
        <w:t>第一章 采购邀请书</w:t>
      </w:r>
    </w:p>
    <w:p w14:paraId="35917008">
      <w:pPr>
        <w:pStyle w:val="11"/>
        <w:shd w:val="clear" w:color="auto" w:fill="FFFFFF"/>
        <w:spacing w:beforeAutospacing="0" w:afterAutospacing="0" w:line="480" w:lineRule="atLeast"/>
        <w:jc w:val="center"/>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竞争性磋商采购公告</w:t>
      </w:r>
    </w:p>
    <w:p w14:paraId="2783B481">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中国共产党福州市委员会党校 已根据政府采购相关法律法规，经相应程序确定采用 竞争性磋商 方式组织 中共福州市委党校后勤服务委托管理项目（以下简称：“本项目”）的政府采购活动，现欢迎国内合格的供应商前来参加。本项目由采购人委托福建立成招标代理有限公司开展竞争性磋商活动。</w:t>
      </w:r>
    </w:p>
    <w:p w14:paraId="02B08B4A">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 xml:space="preserve">1.项目名称： 中共福州市委党校后勤服务委托管理项目  </w:t>
      </w:r>
    </w:p>
    <w:p w14:paraId="49DC41DE">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 xml:space="preserve">2.备案编号：  / </w:t>
      </w:r>
    </w:p>
    <w:p w14:paraId="21D7AD08">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3.项目编号： /</w:t>
      </w:r>
    </w:p>
    <w:p w14:paraId="6A15CC0B">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4.采购内容及要求：</w:t>
      </w:r>
    </w:p>
    <w:p w14:paraId="6141AE6A">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采购包1：</w:t>
      </w:r>
    </w:p>
    <w:p w14:paraId="2FCD1258">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 xml:space="preserve">采购包预算金额（元）: </w:t>
      </w:r>
      <w:r>
        <w:rPr>
          <w:rFonts w:hint="eastAsia" w:asciiTheme="minorEastAsia" w:hAnsiTheme="minorEastAsia" w:cstheme="minorEastAsia"/>
          <w:color w:val="000000" w:themeColor="text1"/>
          <w14:textFill>
            <w14:solidFill>
              <w14:schemeClr w14:val="tx1"/>
            </w14:solidFill>
          </w14:textFill>
        </w:rPr>
        <w:t>45,000</w:t>
      </w:r>
      <w:r>
        <w:rPr>
          <w:rFonts w:hint="eastAsia" w:asciiTheme="minorEastAsia" w:hAnsiTheme="minorEastAsia" w:cstheme="minorEastAsia"/>
          <w:color w:val="000000" w:themeColor="text1"/>
          <w:shd w:val="clear" w:color="auto" w:fill="FFFFFF"/>
          <w14:textFill>
            <w14:solidFill>
              <w14:schemeClr w14:val="tx1"/>
            </w14:solidFill>
          </w14:textFill>
        </w:rPr>
        <w:t>,000.00</w:t>
      </w:r>
    </w:p>
    <w:p w14:paraId="69457AC8">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 xml:space="preserve">采购包最高限价（元）: </w:t>
      </w:r>
      <w:r>
        <w:rPr>
          <w:rFonts w:hint="eastAsia" w:asciiTheme="minorEastAsia" w:hAnsiTheme="minorEastAsia" w:cstheme="minorEastAsia"/>
          <w:color w:val="000000" w:themeColor="text1"/>
          <w14:textFill>
            <w14:solidFill>
              <w14:schemeClr w14:val="tx1"/>
            </w14:solidFill>
          </w14:textFill>
        </w:rPr>
        <w:t>45,000</w:t>
      </w:r>
      <w:r>
        <w:rPr>
          <w:rFonts w:hint="eastAsia" w:asciiTheme="minorEastAsia" w:hAnsiTheme="minorEastAsia" w:cstheme="minorEastAsia"/>
          <w:color w:val="000000" w:themeColor="text1"/>
          <w:shd w:val="clear" w:color="auto" w:fill="FFFFFF"/>
          <w14:textFill>
            <w14:solidFill>
              <w14:schemeClr w14:val="tx1"/>
            </w14:solidFill>
          </w14:textFill>
        </w:rPr>
        <w:t>,000.00</w:t>
      </w:r>
    </w:p>
    <w:p w14:paraId="29842911">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采购包保证金金额（元）: 0.00</w:t>
      </w:r>
    </w:p>
    <w:tbl>
      <w:tblPr>
        <w:tblStyle w:val="13"/>
        <w:tblW w:w="987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987"/>
        <w:gridCol w:w="1975"/>
        <w:gridCol w:w="988"/>
        <w:gridCol w:w="1976"/>
        <w:gridCol w:w="988"/>
        <w:gridCol w:w="1976"/>
        <w:gridCol w:w="988"/>
      </w:tblGrid>
      <w:tr w14:paraId="6EDB795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8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E2845EB">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序号</w:t>
            </w:r>
          </w:p>
        </w:tc>
        <w:tc>
          <w:tcPr>
            <w:tcW w:w="197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A0F32EA">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标的名称</w:t>
            </w:r>
          </w:p>
        </w:tc>
        <w:tc>
          <w:tcPr>
            <w:tcW w:w="98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4214673">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数量</w:t>
            </w:r>
          </w:p>
        </w:tc>
        <w:tc>
          <w:tcPr>
            <w:tcW w:w="197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B9884F6">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标的金额 （元）</w:t>
            </w:r>
          </w:p>
        </w:tc>
        <w:tc>
          <w:tcPr>
            <w:tcW w:w="98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531D3BF">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计量单位</w:t>
            </w:r>
          </w:p>
        </w:tc>
        <w:tc>
          <w:tcPr>
            <w:tcW w:w="197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394FBF7">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所属行业</w:t>
            </w:r>
          </w:p>
        </w:tc>
        <w:tc>
          <w:tcPr>
            <w:tcW w:w="98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592E157">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是否允许进口产品</w:t>
            </w:r>
          </w:p>
        </w:tc>
      </w:tr>
      <w:tr w14:paraId="1B0596D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4CA8A97">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1</w:t>
            </w:r>
          </w:p>
        </w:tc>
        <w:tc>
          <w:tcPr>
            <w:tcW w:w="1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933C575">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 xml:space="preserve">中共福州市委党校后勤服务委托管理项目  </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22AE40E">
            <w:pPr>
              <w:spacing w:line="480" w:lineRule="atLeast"/>
              <w:jc w:val="righ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3.00</w:t>
            </w:r>
          </w:p>
        </w:tc>
        <w:tc>
          <w:tcPr>
            <w:tcW w:w="197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27BE305">
            <w:pPr>
              <w:spacing w:line="480" w:lineRule="atLeast"/>
              <w:jc w:val="righ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45,000,000.00</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5C1336D">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年</w:t>
            </w:r>
          </w:p>
        </w:tc>
        <w:tc>
          <w:tcPr>
            <w:tcW w:w="197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FDE92C6">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租赁和商务服务业</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8B175EC">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否</w:t>
            </w:r>
          </w:p>
        </w:tc>
      </w:tr>
    </w:tbl>
    <w:p w14:paraId="40792B45">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采购包1：</w:t>
      </w:r>
    </w:p>
    <w:p w14:paraId="037DDC7F">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（1）报价要求：</w:t>
      </w:r>
    </w:p>
    <w:tbl>
      <w:tblPr>
        <w:tblStyle w:val="13"/>
        <w:tblW w:w="987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613"/>
        <w:gridCol w:w="3793"/>
        <w:gridCol w:w="858"/>
        <w:gridCol w:w="858"/>
        <w:gridCol w:w="1837"/>
        <w:gridCol w:w="1429"/>
        <w:gridCol w:w="490"/>
      </w:tblGrid>
      <w:tr w14:paraId="2435135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E80B33B">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序号</w:t>
            </w:r>
          </w:p>
        </w:tc>
        <w:tc>
          <w:tcPr>
            <w:tcW w:w="379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A688FA9">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报价内容</w:t>
            </w:r>
          </w:p>
        </w:tc>
        <w:tc>
          <w:tcPr>
            <w:tcW w:w="85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85C2D33">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计量单位</w:t>
            </w:r>
          </w:p>
        </w:tc>
        <w:tc>
          <w:tcPr>
            <w:tcW w:w="85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33EB919">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报价单位</w:t>
            </w:r>
          </w:p>
        </w:tc>
        <w:tc>
          <w:tcPr>
            <w:tcW w:w="183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84FB712">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最高限价</w:t>
            </w:r>
          </w:p>
        </w:tc>
        <w:tc>
          <w:tcPr>
            <w:tcW w:w="142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52EEFD9">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价款形式</w:t>
            </w:r>
          </w:p>
        </w:tc>
        <w:tc>
          <w:tcPr>
            <w:tcW w:w="490"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4B44E84">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报价说明</w:t>
            </w:r>
          </w:p>
        </w:tc>
      </w:tr>
      <w:tr w14:paraId="161DF2C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334C8D4">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1</w:t>
            </w:r>
          </w:p>
        </w:tc>
        <w:tc>
          <w:tcPr>
            <w:tcW w:w="379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B093206">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 xml:space="preserve">中共福州市委党校后勤服务委托管理项目  </w:t>
            </w:r>
          </w:p>
        </w:tc>
        <w:tc>
          <w:tcPr>
            <w:tcW w:w="85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AD0F52E">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年</w:t>
            </w:r>
          </w:p>
        </w:tc>
        <w:tc>
          <w:tcPr>
            <w:tcW w:w="85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D5AE037">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元</w:t>
            </w:r>
          </w:p>
        </w:tc>
        <w:tc>
          <w:tcPr>
            <w:tcW w:w="18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589D95">
            <w:pPr>
              <w:spacing w:line="480" w:lineRule="atLeast"/>
              <w:jc w:val="righ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45,000,000.00</w:t>
            </w:r>
          </w:p>
        </w:tc>
        <w:tc>
          <w:tcPr>
            <w:tcW w:w="142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CA243DB">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总价</w:t>
            </w:r>
          </w:p>
        </w:tc>
        <w:tc>
          <w:tcPr>
            <w:tcW w:w="49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8120385">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无</w:t>
            </w:r>
          </w:p>
        </w:tc>
      </w:tr>
    </w:tbl>
    <w:p w14:paraId="15F7F153">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（2）报价明细要求：</w:t>
      </w:r>
    </w:p>
    <w:p w14:paraId="63F1AAA2">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 xml:space="preserve">中共福州市委党校后勤服务委托管理项目  </w:t>
      </w:r>
    </w:p>
    <w:tbl>
      <w:tblPr>
        <w:tblStyle w:val="13"/>
        <w:tblW w:w="987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607"/>
        <w:gridCol w:w="2168"/>
        <w:gridCol w:w="2168"/>
        <w:gridCol w:w="607"/>
        <w:gridCol w:w="607"/>
        <w:gridCol w:w="1336"/>
        <w:gridCol w:w="997"/>
        <w:gridCol w:w="1388"/>
      </w:tblGrid>
      <w:tr w14:paraId="2FFC454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0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92BEC82">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序号</w:t>
            </w:r>
          </w:p>
        </w:tc>
        <w:tc>
          <w:tcPr>
            <w:tcW w:w="216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51D0108">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报价明细内容</w:t>
            </w:r>
          </w:p>
        </w:tc>
        <w:tc>
          <w:tcPr>
            <w:tcW w:w="216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4BD6686">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报价要求</w:t>
            </w:r>
          </w:p>
        </w:tc>
        <w:tc>
          <w:tcPr>
            <w:tcW w:w="60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112FB9E">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计量单位</w:t>
            </w:r>
          </w:p>
        </w:tc>
        <w:tc>
          <w:tcPr>
            <w:tcW w:w="60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04BCD8B">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报价单位</w:t>
            </w:r>
          </w:p>
        </w:tc>
        <w:tc>
          <w:tcPr>
            <w:tcW w:w="133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7190B9C">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最高限价</w:t>
            </w:r>
          </w:p>
        </w:tc>
        <w:tc>
          <w:tcPr>
            <w:tcW w:w="99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6DF4FC4">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价款形式</w:t>
            </w:r>
          </w:p>
        </w:tc>
        <w:tc>
          <w:tcPr>
            <w:tcW w:w="138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003E1DB">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报价说明</w:t>
            </w:r>
          </w:p>
        </w:tc>
      </w:tr>
      <w:tr w14:paraId="0DC8EF3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0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BF9BF61">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1</w:t>
            </w:r>
          </w:p>
        </w:tc>
        <w:tc>
          <w:tcPr>
            <w:tcW w:w="216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2FE21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 xml:space="preserve">中共福州市委党校后勤服务委托管理项目  </w:t>
            </w:r>
          </w:p>
        </w:tc>
        <w:tc>
          <w:tcPr>
            <w:tcW w:w="216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3005EBF">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 xml:space="preserve">中共福州市委党校后勤服务委托管理项目  </w:t>
            </w:r>
          </w:p>
        </w:tc>
        <w:tc>
          <w:tcPr>
            <w:tcW w:w="60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03FA48D">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年</w:t>
            </w:r>
          </w:p>
        </w:tc>
        <w:tc>
          <w:tcPr>
            <w:tcW w:w="60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4985C9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元</w:t>
            </w:r>
          </w:p>
        </w:tc>
        <w:tc>
          <w:tcPr>
            <w:tcW w:w="133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423C1A8">
            <w:pPr>
              <w:spacing w:line="480" w:lineRule="atLeast"/>
              <w:jc w:val="righ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45,000,000.00</w:t>
            </w:r>
          </w:p>
        </w:tc>
        <w:tc>
          <w:tcPr>
            <w:tcW w:w="99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AC8F483">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总价</w:t>
            </w:r>
          </w:p>
        </w:tc>
        <w:tc>
          <w:tcPr>
            <w:tcW w:w="13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A59456B">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无</w:t>
            </w:r>
          </w:p>
        </w:tc>
      </w:tr>
    </w:tbl>
    <w:p w14:paraId="708DE68C">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5.采购项目需要落实的政府采购政策：</w:t>
      </w:r>
    </w:p>
    <w:p w14:paraId="0ED27356">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进口产品：不适用</w:t>
      </w:r>
    </w:p>
    <w:p w14:paraId="3A9F6210">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节能产品：不适用</w:t>
      </w:r>
    </w:p>
    <w:p w14:paraId="0F81E605">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环境标志产品：不适用</w:t>
      </w:r>
    </w:p>
    <w:p w14:paraId="0561F801">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促进中小企业发展的相关政策：</w:t>
      </w:r>
    </w:p>
    <w:p w14:paraId="1A73FBF5">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采购包1：不专门面向中小企业采购</w:t>
      </w:r>
    </w:p>
    <w:p w14:paraId="6E95A551">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6.供应商的资格要求：</w:t>
      </w:r>
    </w:p>
    <w:p w14:paraId="7DF400EB">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6.1法定条件：符合《中华人民共和国政府采购法》第二十二条第一款规定的条件。</w:t>
      </w:r>
    </w:p>
    <w:p w14:paraId="14D4382D">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6.2特定条件：</w:t>
      </w:r>
    </w:p>
    <w:p w14:paraId="2C7BD31E">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采购包1：</w:t>
      </w:r>
    </w:p>
    <w:tbl>
      <w:tblPr>
        <w:tblStyle w:val="13"/>
        <w:tblW w:w="9878" w:type="dxa"/>
        <w:tblInd w:w="0" w:type="dxa"/>
        <w:tblLayout w:type="fixed"/>
        <w:tblCellMar>
          <w:top w:w="0" w:type="dxa"/>
          <w:left w:w="0" w:type="dxa"/>
          <w:bottom w:w="0" w:type="dxa"/>
          <w:right w:w="0" w:type="dxa"/>
        </w:tblCellMar>
      </w:tblPr>
      <w:tblGrid>
        <w:gridCol w:w="1985"/>
        <w:gridCol w:w="7893"/>
      </w:tblGrid>
      <w:tr w14:paraId="4024DDDD">
        <w:tblPrEx>
          <w:tblCellMar>
            <w:top w:w="0" w:type="dxa"/>
            <w:left w:w="0" w:type="dxa"/>
            <w:bottom w:w="0" w:type="dxa"/>
            <w:right w:w="0" w:type="dxa"/>
          </w:tblCellMar>
        </w:tblPrEx>
        <w:tc>
          <w:tcPr>
            <w:tcW w:w="198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55EE54A">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资格审查要求概况</w:t>
            </w:r>
          </w:p>
        </w:tc>
        <w:tc>
          <w:tcPr>
            <w:tcW w:w="789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48F14FC">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评审点具体描述</w:t>
            </w:r>
          </w:p>
        </w:tc>
      </w:tr>
      <w:tr w14:paraId="34914101">
        <w:tblPrEx>
          <w:tblCellMar>
            <w:top w:w="0" w:type="dxa"/>
            <w:left w:w="0" w:type="dxa"/>
            <w:bottom w:w="0" w:type="dxa"/>
            <w:right w:w="0" w:type="dxa"/>
          </w:tblCellMar>
        </w:tblPrEx>
        <w:tc>
          <w:tcPr>
            <w:tcW w:w="1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1604AB7">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资格承诺函</w:t>
            </w:r>
          </w:p>
        </w:tc>
        <w:tc>
          <w:tcPr>
            <w:tcW w:w="789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1F29BE">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A2D33A7">
        <w:tblPrEx>
          <w:tblCellMar>
            <w:top w:w="0" w:type="dxa"/>
            <w:left w:w="0" w:type="dxa"/>
            <w:bottom w:w="0" w:type="dxa"/>
            <w:right w:w="0" w:type="dxa"/>
          </w:tblCellMar>
        </w:tblPrEx>
        <w:tc>
          <w:tcPr>
            <w:tcW w:w="1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3779B2E">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特殊资格要求1</w:t>
            </w:r>
          </w:p>
        </w:tc>
        <w:tc>
          <w:tcPr>
            <w:tcW w:w="789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E89090D">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投标人须具备有效的《食品经营许可证》，须提供相关证件复印件。在投标截止时间前，如因国家政策调整 ，国家有关行政部门有颁发新的食品方面许可证书的，应从其规定 ，投标人须在投标文件中做出书面说明。</w:t>
            </w:r>
          </w:p>
        </w:tc>
      </w:tr>
      <w:tr w14:paraId="15199FAD">
        <w:tblPrEx>
          <w:tblCellMar>
            <w:top w:w="0" w:type="dxa"/>
            <w:left w:w="0" w:type="dxa"/>
            <w:bottom w:w="0" w:type="dxa"/>
            <w:right w:w="0" w:type="dxa"/>
          </w:tblCellMar>
        </w:tblPrEx>
        <w:tc>
          <w:tcPr>
            <w:tcW w:w="1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3237824">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特殊资格要求2</w:t>
            </w:r>
          </w:p>
        </w:tc>
        <w:tc>
          <w:tcPr>
            <w:tcW w:w="789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2C4DB30">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asciiTheme="minorEastAsia" w:hAnsiTheme="minorEastAsia" w:cstheme="minorEastAsia"/>
                <w:color w:val="000000" w:themeColor="text1"/>
                <w:kern w:val="0"/>
                <w:sz w:val="24"/>
                <w14:textFill>
                  <w14:solidFill>
                    <w14:schemeClr w14:val="tx1"/>
                  </w14:solidFill>
                </w14:textFill>
              </w:rPr>
              <w:t>本项目采用竞争性磋商方式,参与磋商的为采购人及评审专家推荐名单上的供应商;未在推荐名单上的其他供应商不予参与本项目磋商,不具备磋商资格,做无效标处理。</w:t>
            </w:r>
          </w:p>
        </w:tc>
      </w:tr>
    </w:tbl>
    <w:p w14:paraId="130F5E28">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6.3是否接受联合体形式的响应磋商：</w:t>
      </w:r>
    </w:p>
    <w:p w14:paraId="4F9BE1BF">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采购包1：不接受</w:t>
      </w:r>
    </w:p>
    <w:p w14:paraId="2A304596">
      <w:pPr>
        <w:pStyle w:val="11"/>
        <w:shd w:val="clear" w:color="auto" w:fill="FFFFFF"/>
        <w:spacing w:beforeAutospacing="0" w:afterAutospacing="0" w:line="480" w:lineRule="atLeast"/>
        <w:ind w:firstLine="420"/>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※根据上述资格要求，供应商响应文件中应提交的“资格证明文件”相关规定和资料要求，详见竞争性磋商须知前附表和磋商文件第五章。</w:t>
      </w:r>
    </w:p>
    <w:p w14:paraId="18EA663C">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7.竞争性磋商文件获取期限：</w:t>
      </w:r>
    </w:p>
    <w:p w14:paraId="7360BDFF">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详见磋商公告或更正公告（若有）。</w:t>
      </w:r>
    </w:p>
    <w:p w14:paraId="6165D44C">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7.1如果采购过程中有发出更正公告，采购人将根据实际情况确定是否延长文件获取期限，则文件获取截止时间以更正公告中的约定为准。</w:t>
      </w:r>
    </w:p>
    <w:p w14:paraId="1A8E60C5">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7.2竞争性磋商文件获取期限内，供应商应通过福建省政府采购网上公开信息系统的注册账号（免费注册）并获取竞争性磋商文件(登录福建省政府采购网上公开信息系统进行文件获取)，否则报价响应将被拒绝。</w:t>
      </w:r>
    </w:p>
    <w:p w14:paraId="63233464">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8.获取采购文件时间、地点、方式：</w:t>
      </w:r>
    </w:p>
    <w:p w14:paraId="589DBD7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8.1采购文件的提供期限：详见磋商公告或更正公告（若有），若不一致，以更正公告（若有）为准。采购文件的提供期限与磋商公告的公告期限保持一致。</w:t>
      </w:r>
    </w:p>
    <w:p w14:paraId="367A4F9A">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8.2获取地点及方式：注册账号后通过福建省政府采购网上公开信息系统以下载方式获取。</w:t>
      </w:r>
    </w:p>
    <w:p w14:paraId="0D4CAAD4">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9.采购文件售价：0元。</w:t>
      </w:r>
    </w:p>
    <w:p w14:paraId="51423F5C">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10.首次响应文件递交截止时间及地点：</w:t>
      </w:r>
    </w:p>
    <w:p w14:paraId="75859D09">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详见磋商公告或更正公告（若有），若不一致，以更正公告（若有）为准。供应商应在此之前将密封的首次响应文件送达本章第11条载明的地点，逾期送达的或不符合规定的响应文件将被拒绝接收。</w:t>
      </w:r>
    </w:p>
    <w:p w14:paraId="21E662B3">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11.磋商时间及地点：</w:t>
      </w:r>
    </w:p>
    <w:p w14:paraId="1E652D65">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详见磋商公告或更正公告（若有），若不一致，以更正公告（若有）为准。</w:t>
      </w:r>
    </w:p>
    <w:p w14:paraId="2A8B304B">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12.竞争性磋商公告期限：</w:t>
      </w:r>
    </w:p>
    <w:p w14:paraId="38C8745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自财政部和福建省财政厅指定的政府采购信息发布媒体最先发布公告之日起3个工作日。</w:t>
      </w:r>
    </w:p>
    <w:p w14:paraId="7D2488FE">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13、采购人：中国共产党福州市委员会党校</w:t>
      </w:r>
    </w:p>
    <w:p w14:paraId="7DA8727A">
      <w:pPr>
        <w:pStyle w:val="11"/>
        <w:spacing w:beforeAutospacing="0" w:afterAutospacing="0" w:line="480" w:lineRule="atLeast"/>
        <w:ind w:firstLine="42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地址： 福马路990号</w:t>
      </w:r>
    </w:p>
    <w:p w14:paraId="423CBC6A">
      <w:pPr>
        <w:pStyle w:val="11"/>
        <w:spacing w:beforeAutospacing="0" w:afterAutospacing="0" w:line="480" w:lineRule="atLeast"/>
        <w:ind w:firstLine="42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邮编： 350001</w:t>
      </w:r>
    </w:p>
    <w:p w14:paraId="2F14FF5B">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联系人： 傅女士</w:t>
      </w:r>
    </w:p>
    <w:p w14:paraId="53951F86">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联系电话：0591-88199323</w:t>
      </w:r>
    </w:p>
    <w:p w14:paraId="1AE72CE0">
      <w:pPr>
        <w:pStyle w:val="4"/>
        <w:shd w:val="clear" w:color="auto" w:fill="FFFFFF"/>
        <w:spacing w:beforeAutospacing="0" w:afterAutospacing="0" w:line="480" w:lineRule="atLeast"/>
        <w:ind w:firstLine="420"/>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14、代理机构：福建立成招标代理有限公司</w:t>
      </w:r>
    </w:p>
    <w:p w14:paraId="31B15502">
      <w:pPr>
        <w:shd w:val="clear" w:color="auto" w:fill="FFFFFF"/>
        <w:spacing w:line="480" w:lineRule="atLeast"/>
        <w:ind w:firstLine="48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地址： 福州市鼓楼区五一北路171号新都会花园广场14层1403室</w:t>
      </w:r>
    </w:p>
    <w:p w14:paraId="7B16FA13">
      <w:pPr>
        <w:shd w:val="clear" w:color="auto" w:fill="FFFFFF"/>
        <w:spacing w:line="480" w:lineRule="atLeast"/>
        <w:ind w:firstLine="48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邮编： 350001</w:t>
      </w:r>
    </w:p>
    <w:p w14:paraId="3B84AEA0">
      <w:pPr>
        <w:shd w:val="clear" w:color="auto" w:fill="FFFFFF"/>
        <w:spacing w:line="480" w:lineRule="atLeast"/>
        <w:ind w:firstLine="48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联系人： 杨都、黄涓珉、李心洁、翁燕、黄众雄</w:t>
      </w:r>
    </w:p>
    <w:p w14:paraId="6C2C168D">
      <w:pPr>
        <w:shd w:val="clear" w:color="auto" w:fill="FFFFFF"/>
        <w:spacing w:line="480" w:lineRule="atLeast"/>
        <w:ind w:firstLine="48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联系电话： 0591-87525169</w:t>
      </w:r>
    </w:p>
    <w:p w14:paraId="726A04AC">
      <w:pPr>
        <w:pStyle w:val="4"/>
        <w:shd w:val="clear" w:color="auto" w:fill="FFFFFF"/>
        <w:spacing w:beforeAutospacing="0" w:afterAutospacing="0" w:line="480" w:lineRule="atLeast"/>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附1：购买采购文件和提交磋商保证金的银行账户信息</w:t>
      </w:r>
    </w:p>
    <w:tbl>
      <w:tblPr>
        <w:tblStyle w:val="13"/>
        <w:tblW w:w="9878" w:type="dxa"/>
        <w:tblInd w:w="0" w:type="dxa"/>
        <w:shd w:val="clear" w:color="auto" w:fill="FFFFFF"/>
        <w:tblLayout w:type="fixed"/>
        <w:tblCellMar>
          <w:top w:w="0" w:type="dxa"/>
          <w:left w:w="0" w:type="dxa"/>
          <w:bottom w:w="0" w:type="dxa"/>
          <w:right w:w="0" w:type="dxa"/>
        </w:tblCellMar>
      </w:tblPr>
      <w:tblGrid>
        <w:gridCol w:w="9878"/>
      </w:tblGrid>
      <w:tr w14:paraId="4F81C74E">
        <w:tblPrEx>
          <w:shd w:val="clear" w:color="auto" w:fill="FFFFFF"/>
          <w:tblCellMar>
            <w:top w:w="0" w:type="dxa"/>
            <w:left w:w="0" w:type="dxa"/>
            <w:bottom w:w="0" w:type="dxa"/>
            <w:right w:w="0" w:type="dxa"/>
          </w:tblCellMar>
        </w:tblPrEx>
        <w:tc>
          <w:tcPr>
            <w:tcW w:w="9878"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8423896">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银行账户</w:t>
            </w:r>
          </w:p>
        </w:tc>
      </w:tr>
      <w:tr w14:paraId="4E4F8540">
        <w:tblPrEx>
          <w:shd w:val="clear" w:color="auto" w:fill="FFFFFF"/>
          <w:tblCellMar>
            <w:top w:w="0" w:type="dxa"/>
            <w:left w:w="0" w:type="dxa"/>
            <w:bottom w:w="0" w:type="dxa"/>
            <w:right w:w="0" w:type="dxa"/>
          </w:tblCellMar>
        </w:tblPrEx>
        <w:tc>
          <w:tcPr>
            <w:tcW w:w="9878"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0C7DBFE">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开户名称： 福建立成招标代理有限公司</w:t>
            </w:r>
          </w:p>
        </w:tc>
      </w:tr>
      <w:tr w14:paraId="34D70FEF">
        <w:tblPrEx>
          <w:shd w:val="clear" w:color="auto" w:fill="FFFFFF"/>
          <w:tblCellMar>
            <w:top w:w="0" w:type="dxa"/>
            <w:left w:w="0" w:type="dxa"/>
            <w:bottom w:w="0" w:type="dxa"/>
            <w:right w:w="0" w:type="dxa"/>
          </w:tblCellMar>
        </w:tblPrEx>
        <w:tc>
          <w:tcPr>
            <w:tcW w:w="9878"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BB7CA4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开户银行：由供应商在福建省政府采购网上公开信息系统获取竞争性磋商文件成功后根据系统的提示，自行选择要缴交的保证金托管银行</w:t>
            </w:r>
          </w:p>
        </w:tc>
      </w:tr>
      <w:tr w14:paraId="24D92427">
        <w:tblPrEx>
          <w:shd w:val="clear" w:color="auto" w:fill="FFFFFF"/>
          <w:tblCellMar>
            <w:top w:w="0" w:type="dxa"/>
            <w:left w:w="0" w:type="dxa"/>
            <w:bottom w:w="0" w:type="dxa"/>
            <w:right w:w="0" w:type="dxa"/>
          </w:tblCellMar>
        </w:tblPrEx>
        <w:tc>
          <w:tcPr>
            <w:tcW w:w="9878"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98B0204">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银行账号：福建省政府采购网上公开信息系统根据供应商选择的保证金托管银行，自动生成供应商所投采购包的缴交银行账号。若投多个采购包将生成多个对应缴交账号。请分别根据所投采购包的保证金要求，进行保证金缴交。</w:t>
            </w:r>
          </w:p>
        </w:tc>
      </w:tr>
      <w:tr w14:paraId="4F300519">
        <w:tblPrEx>
          <w:shd w:val="clear" w:color="auto" w:fill="FFFFFF"/>
          <w:tblCellMar>
            <w:top w:w="0" w:type="dxa"/>
            <w:left w:w="0" w:type="dxa"/>
            <w:bottom w:w="0" w:type="dxa"/>
            <w:right w:w="0" w:type="dxa"/>
          </w:tblCellMar>
        </w:tblPrEx>
        <w:tc>
          <w:tcPr>
            <w:tcW w:w="9878"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94CB7B2">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特别提示</w:t>
            </w:r>
          </w:p>
        </w:tc>
      </w:tr>
      <w:tr w14:paraId="4AEC14DB">
        <w:tblPrEx>
          <w:shd w:val="clear" w:color="auto" w:fill="FFFFFF"/>
          <w:tblCellMar>
            <w:top w:w="0" w:type="dxa"/>
            <w:left w:w="0" w:type="dxa"/>
            <w:bottom w:w="0" w:type="dxa"/>
            <w:right w:w="0" w:type="dxa"/>
          </w:tblCellMar>
        </w:tblPrEx>
        <w:tc>
          <w:tcPr>
            <w:tcW w:w="9878"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0407D55">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1、请供应商务必认真核对账户信息，将磋商保证金款项汇入对应账户，并自行承担因款项汇错而产生的一切后果。</w:t>
            </w:r>
          </w:p>
          <w:p w14:paraId="4514D2E9">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2、请供应商在转账或电汇的凭证上务必按照以下格式注明，以便核对：“（项目编号：***、采购包：***）的磋商保证金”。</w:t>
            </w:r>
          </w:p>
        </w:tc>
      </w:tr>
    </w:tbl>
    <w:p w14:paraId="5DE8E01C">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 </w:t>
      </w:r>
    </w:p>
    <w:p w14:paraId="49EA881C">
      <w:pPr>
        <w:rPr>
          <w:rFonts w:hint="eastAsia" w:asciiTheme="minorEastAsia" w:hAnsiTheme="minorEastAsia" w:cstheme="minorEastAsia"/>
          <w:color w:val="000000" w:themeColor="text1"/>
          <w:sz w:val="39"/>
          <w:szCs w:val="39"/>
          <w:shd w:val="clear" w:color="auto" w:fill="FFFFFF"/>
          <w14:textFill>
            <w14:solidFill>
              <w14:schemeClr w14:val="tx1"/>
            </w14:solidFill>
          </w14:textFill>
        </w:rPr>
      </w:pPr>
      <w:r>
        <w:rPr>
          <w:rFonts w:asciiTheme="minorEastAsia" w:hAnsiTheme="minorEastAsia" w:cstheme="minorEastAsia"/>
          <w:color w:val="000000" w:themeColor="text1"/>
          <w:sz w:val="39"/>
          <w:szCs w:val="39"/>
          <w:shd w:val="clear" w:color="auto" w:fill="FFFFFF"/>
          <w14:textFill>
            <w14:solidFill>
              <w14:schemeClr w14:val="tx1"/>
            </w14:solidFill>
          </w14:textFill>
        </w:rPr>
        <w:br w:type="page"/>
      </w:r>
    </w:p>
    <w:p w14:paraId="45747044">
      <w:pPr>
        <w:pStyle w:val="3"/>
        <w:shd w:val="clear" w:color="auto" w:fill="FFFFFF"/>
        <w:spacing w:beforeAutospacing="0" w:afterAutospacing="0" w:line="480" w:lineRule="atLeast"/>
        <w:jc w:val="center"/>
        <w:rPr>
          <w:rFonts w:asciiTheme="minorEastAsia" w:hAnsiTheme="minorEastAsia" w:eastAsiaTheme="minorEastAsia" w:cstheme="minorEastAsia"/>
          <w:color w:val="000000" w:themeColor="text1"/>
          <w:sz w:val="39"/>
          <w:szCs w:val="39"/>
          <w14:textFill>
            <w14:solidFill>
              <w14:schemeClr w14:val="tx1"/>
            </w14:solidFill>
          </w14:textFill>
        </w:rPr>
      </w:pPr>
      <w:r>
        <w:rPr>
          <w:rFonts w:asciiTheme="minorEastAsia" w:hAnsiTheme="minorEastAsia" w:eastAsiaTheme="minorEastAsia" w:cstheme="minorEastAsia"/>
          <w:color w:val="000000" w:themeColor="text1"/>
          <w:sz w:val="39"/>
          <w:szCs w:val="39"/>
          <w:shd w:val="clear" w:color="auto" w:fill="FFFFFF"/>
          <w14:textFill>
            <w14:solidFill>
              <w14:schemeClr w14:val="tx1"/>
            </w14:solidFill>
          </w14:textFill>
        </w:rPr>
        <w:t>第二章 竞争性磋商须知</w:t>
      </w:r>
    </w:p>
    <w:p w14:paraId="1F03AF3B">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第1节 竞争性磋商须知前附表（表1、表2）</w:t>
      </w:r>
    </w:p>
    <w:p w14:paraId="6B662BB2">
      <w:pPr>
        <w:pStyle w:val="5"/>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一、竞争性磋商须知前附表1</w:t>
      </w:r>
    </w:p>
    <w:p w14:paraId="49A72D85">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竞争性磋商须知前附表是对竞争性磋商须知的补充和细化，二者如有矛盾，以前附表中的要求和规定为准</w:t>
      </w:r>
    </w:p>
    <w:tbl>
      <w:tblPr>
        <w:tblStyle w:val="13"/>
        <w:tblW w:w="9878" w:type="dxa"/>
        <w:tblInd w:w="0" w:type="dxa"/>
        <w:shd w:val="clear" w:color="auto" w:fill="FFFFFF"/>
        <w:tblLayout w:type="autofit"/>
        <w:tblCellMar>
          <w:top w:w="0" w:type="dxa"/>
          <w:left w:w="0" w:type="dxa"/>
          <w:bottom w:w="0" w:type="dxa"/>
          <w:right w:w="0" w:type="dxa"/>
        </w:tblCellMar>
      </w:tblPr>
      <w:tblGrid>
        <w:gridCol w:w="480"/>
        <w:gridCol w:w="960"/>
        <w:gridCol w:w="8746"/>
      </w:tblGrid>
      <w:tr w14:paraId="565378E7">
        <w:tblPrEx>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D8A29D9">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项号</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8743E34">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条款号</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E83189A">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编列内容</w:t>
            </w:r>
          </w:p>
        </w:tc>
      </w:tr>
      <w:tr w14:paraId="12A6767A">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B520F28">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61C582E">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3.2.1</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86FD712">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供应商的资格要求：见磋商文件第一章“采购公告/采购邀请书”</w:t>
            </w:r>
          </w:p>
          <w:p w14:paraId="359A98D8">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（1）资格证明文件资料要求：</w:t>
            </w:r>
          </w:p>
          <w:p w14:paraId="06E65F0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采购包1：</w:t>
            </w:r>
          </w:p>
          <w:tbl>
            <w:tblPr>
              <w:tblStyle w:val="13"/>
              <w:tblW w:w="8506"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618"/>
              <w:gridCol w:w="1751"/>
              <w:gridCol w:w="6137"/>
            </w:tblGrid>
            <w:tr w14:paraId="17E371F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ED7563F">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序号</w:t>
                  </w:r>
                </w:p>
              </w:tc>
              <w:tc>
                <w:tcPr>
                  <w:tcW w:w="1751"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6148129">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资格审查要求概况</w:t>
                  </w:r>
                </w:p>
              </w:tc>
              <w:tc>
                <w:tcPr>
                  <w:tcW w:w="613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BABC64E">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评审点具体描述</w:t>
                  </w:r>
                </w:p>
              </w:tc>
            </w:tr>
            <w:tr w14:paraId="545DB2C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B9792C2">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1</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0E5CC48">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磋商响应声明</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ADABBA7">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详见声明函</w:t>
                  </w:r>
                </w:p>
              </w:tc>
            </w:tr>
            <w:tr w14:paraId="3605CF8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9A1916F">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2</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65507D2">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单位负责人授权书</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719DB7A">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1356289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7F66F31">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3</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41470C8">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营业执照等证明文件</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F379B85">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4E58131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B60ED11">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4</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073A3CF">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提供财务状况报告（财务报告、或资信证明）</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F5FEEC6">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58E3009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3E0898F">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5</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809FBA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依法缴纳税收证明材料</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20730AC">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19355BF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79A6CFC">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6</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A53C801">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依法缴纳社会保障资金证明材料</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B2C9AA5">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28448F3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F16237E">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7</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F5C6FE9">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具备履行合同所必需设备和专业技术能力的声明函(若有)</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83E475E">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1EE172C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937991B">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8</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4F9966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参加采购活动前三年内在经营活动中没有重大违法记录的声明</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0A942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0129B9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9FC3BDE">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9</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C9180BF">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中小企业声明函（以资格条件落实中小企业扶持政策时适用 ）</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5051C12">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6B2BAF1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4E86491">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10</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2671806">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信用记录查询结果</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8114FB6">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196F8BD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5E7F0A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11</w:t>
                  </w:r>
                </w:p>
              </w:tc>
              <w:tc>
                <w:tcPr>
                  <w:tcW w:w="17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E06EEB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联合体协议（若有）</w:t>
                  </w:r>
                </w:p>
              </w:tc>
              <w:tc>
                <w:tcPr>
                  <w:tcW w:w="613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AFF9121">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①采购文件接受联合体报价且供应商为联合体的，供应商应提供本协议；否则无须提供。②本协议由委托代理人签字或盖章的，应按照采购文件第五章载明的格式提供“单位负责人授权书”。</w:t>
                  </w:r>
                </w:p>
              </w:tc>
            </w:tr>
          </w:tbl>
          <w:p w14:paraId="67554DD6">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（2）特定资格条件：</w:t>
            </w:r>
          </w:p>
          <w:p w14:paraId="4E97FF8E">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采购包1：</w:t>
            </w:r>
          </w:p>
          <w:tbl>
            <w:tblPr>
              <w:tblStyle w:val="13"/>
              <w:tblW w:w="5000" w:type="pct"/>
              <w:tblInd w:w="0" w:type="dxa"/>
              <w:tblLayout w:type="autofit"/>
              <w:tblCellMar>
                <w:top w:w="0" w:type="dxa"/>
                <w:left w:w="0" w:type="dxa"/>
                <w:bottom w:w="0" w:type="dxa"/>
                <w:right w:w="0" w:type="dxa"/>
              </w:tblCellMar>
            </w:tblPr>
            <w:tblGrid>
              <w:gridCol w:w="1710"/>
              <w:gridCol w:w="6796"/>
            </w:tblGrid>
            <w:tr w14:paraId="0FD8E382">
              <w:tblPrEx>
                <w:tblCellMar>
                  <w:top w:w="0" w:type="dxa"/>
                  <w:left w:w="0" w:type="dxa"/>
                  <w:bottom w:w="0" w:type="dxa"/>
                  <w:right w:w="0" w:type="dxa"/>
                </w:tblCellMar>
              </w:tblPrEx>
              <w:tc>
                <w:tcPr>
                  <w:tcW w:w="1005"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833CB3F">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资格审查要求概况</w:t>
                  </w:r>
                </w:p>
              </w:tc>
              <w:tc>
                <w:tcPr>
                  <w:tcW w:w="3995"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608EF80">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评审点具体描述</w:t>
                  </w:r>
                </w:p>
              </w:tc>
            </w:tr>
            <w:tr w14:paraId="54F8A266">
              <w:tblPrEx>
                <w:tblCellMar>
                  <w:top w:w="0" w:type="dxa"/>
                  <w:left w:w="0" w:type="dxa"/>
                  <w:bottom w:w="0" w:type="dxa"/>
                  <w:right w:w="0" w:type="dxa"/>
                </w:tblCellMar>
              </w:tblPrEx>
              <w:tc>
                <w:tcPr>
                  <w:tcW w:w="1005"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E9CBC2F">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资格承诺函</w:t>
                  </w:r>
                </w:p>
              </w:tc>
              <w:tc>
                <w:tcPr>
                  <w:tcW w:w="3995"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DEC1544">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A3FF495">
              <w:tblPrEx>
                <w:tblCellMar>
                  <w:top w:w="0" w:type="dxa"/>
                  <w:left w:w="0" w:type="dxa"/>
                  <w:bottom w:w="0" w:type="dxa"/>
                  <w:right w:w="0" w:type="dxa"/>
                </w:tblCellMar>
              </w:tblPrEx>
              <w:tc>
                <w:tcPr>
                  <w:tcW w:w="1005"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17B14F2">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特殊资格要求1</w:t>
                  </w:r>
                </w:p>
              </w:tc>
              <w:tc>
                <w:tcPr>
                  <w:tcW w:w="3995"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9DF6559">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投标人须具备有效的《食品经营许可证》，须提供相关证件复印件。在投标截止时间前，如因国家政策调整 ，国家有关行政部门有颁发新的食品方面许可证书的，应从其规定 ，投标人须在投标文件中做出书面说明。</w:t>
                  </w:r>
                </w:p>
              </w:tc>
            </w:tr>
            <w:tr w14:paraId="524DBC30">
              <w:tblPrEx>
                <w:tblCellMar>
                  <w:top w:w="0" w:type="dxa"/>
                  <w:left w:w="0" w:type="dxa"/>
                  <w:bottom w:w="0" w:type="dxa"/>
                  <w:right w:w="0" w:type="dxa"/>
                </w:tblCellMar>
              </w:tblPrEx>
              <w:tc>
                <w:tcPr>
                  <w:tcW w:w="1005"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296A52A">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特殊资格要求2</w:t>
                  </w:r>
                </w:p>
              </w:tc>
              <w:tc>
                <w:tcPr>
                  <w:tcW w:w="3995"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ED025FA">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asciiTheme="minorEastAsia" w:hAnsiTheme="minorEastAsia" w:cstheme="minorEastAsia"/>
                      <w:color w:val="000000" w:themeColor="text1"/>
                      <w:kern w:val="0"/>
                      <w:sz w:val="24"/>
                      <w14:textFill>
                        <w14:solidFill>
                          <w14:schemeClr w14:val="tx1"/>
                        </w14:solidFill>
                      </w14:textFill>
                    </w:rPr>
                    <w:t>本项目采用竞争性磋商方式,参与磋商的为采购人及评审专家推荐名单上的供应商;未在推荐名单上的其他供应商不予参与本项目磋商,不具备磋商资格,做无效标处理。</w:t>
                  </w:r>
                </w:p>
              </w:tc>
            </w:tr>
          </w:tbl>
          <w:p w14:paraId="0B396B83">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（3）磋商保证金</w:t>
            </w:r>
          </w:p>
          <w:p w14:paraId="34DE2D8C">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※备注说明</w:t>
            </w:r>
          </w:p>
          <w:p w14:paraId="4A862D19">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①供应商应根据自身实际情况提供上述资格要求的证明材料，格式可参考磋商文件第五章提供。</w:t>
            </w:r>
          </w:p>
          <w:p w14:paraId="187CFEBD">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②供应商提供的相应证明材料复印件均应符合：内容完整、清晰、整洁，并由供应商加盖其单位公章。</w:t>
            </w:r>
          </w:p>
          <w:p w14:paraId="0E45464B">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③根据采购文件须知前附表1第1项号的“（2）特定资格条件”要求，允许供应商采用资格承诺制的并提供符合要求的资格承诺函，视为满足采购文件的资格要求。</w:t>
            </w:r>
          </w:p>
        </w:tc>
      </w:tr>
      <w:tr w14:paraId="50505B9E">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71BE7E3">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49BA078">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3.2.2</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167ED7F">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是否接受联合体形式的响应磋商：</w:t>
            </w:r>
          </w:p>
          <w:p w14:paraId="0B0EC2B5">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采购包1：不接受</w:t>
            </w:r>
          </w:p>
        </w:tc>
      </w:tr>
      <w:tr w14:paraId="2E01F1B4">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5D794C7">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A73665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6.3</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8290AF8">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是否组织现场考察或召开磋商前答疑会：</w:t>
            </w:r>
          </w:p>
          <w:p w14:paraId="499681E4">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采购包1：不组织</w:t>
            </w:r>
          </w:p>
        </w:tc>
      </w:tr>
      <w:tr w14:paraId="0EFD6146">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BA2531F">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4</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D5B7FBD">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9.1</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A404754">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响应文件有效期：首次响应文件提交截止时间起 90 个日历日。</w:t>
            </w:r>
          </w:p>
        </w:tc>
      </w:tr>
      <w:tr w14:paraId="48FDD247">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989625E">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5</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68F82DF">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10.3.1</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A9C6CDF">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磋商保证金退还的其它要求：</w:t>
            </w:r>
          </w:p>
          <w:p w14:paraId="7E0961E7">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p>
        </w:tc>
      </w:tr>
      <w:tr w14:paraId="45CE6083">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C78D545">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6</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29A8BFC">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11.1</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DF92D2C">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响应文件的份数</w:t>
            </w:r>
          </w:p>
          <w:p w14:paraId="2B46B6AB">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（1）纸质响应文件</w:t>
            </w:r>
          </w:p>
          <w:p w14:paraId="52DA951D">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①响应文件正本 0 份、副本 0 份。</w:t>
            </w:r>
          </w:p>
          <w:p w14:paraId="26974EF5">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②可读介质（光盘或U盘） 0 份：将上传至福建省政府采购网上公开信息系统的电子响应文件在可读介质中另存 0 份。</w:t>
            </w:r>
          </w:p>
          <w:p w14:paraId="05987BB4">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（2）电子响应文件：详见表2《关于电子竞争性磋商活动的专门规定》</w:t>
            </w:r>
          </w:p>
        </w:tc>
      </w:tr>
      <w:tr w14:paraId="60863DBA">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9595D4E">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7</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45D3967">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14.4</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76FE382">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磋商过程中可能发生实质性变动的内容：</w:t>
            </w:r>
          </w:p>
          <w:p w14:paraId="7A77C9D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p>
        </w:tc>
      </w:tr>
      <w:tr w14:paraId="40B285A0">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8FAEA8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8</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D0319D9">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14.9</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B038282">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评审的标准和方法：具体内容详见竞争性磋商须知前附表专项附件“评审的标准和方法”。</w:t>
            </w:r>
          </w:p>
        </w:tc>
      </w:tr>
      <w:tr w14:paraId="4FF3F588">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BBD2125">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9</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1AD5000">
            <w:pPr>
              <w:jc w:val="left"/>
              <w:rPr>
                <w:rFonts w:hint="eastAsia" w:asciiTheme="minorEastAsia" w:hAnsiTheme="minorEastAsia" w:cstheme="minorEastAsia"/>
                <w:color w:val="000000" w:themeColor="text1"/>
                <w:sz w:val="24"/>
                <w14:textFill>
                  <w14:solidFill>
                    <w14:schemeClr w14:val="tx1"/>
                  </w14:solidFill>
                </w14:textFill>
              </w:rPr>
            </w:pP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0E2D563">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根据采购项目的特点和需要，需要加以详细说明的其他磋商程序规定、要求等内容：</w:t>
            </w:r>
          </w:p>
          <w:p w14:paraId="0920F216">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p>
        </w:tc>
      </w:tr>
      <w:tr w14:paraId="56DA1CDE">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D1F3D7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10</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2850C7E">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22.2</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53CFB98">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信息公告指定媒体（以下简称：“指定媒体”）：</w:t>
            </w:r>
          </w:p>
          <w:p w14:paraId="5F8CA413">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(1)中国政府采购网，网址www.ccgp.gov.cn。</w:t>
            </w:r>
          </w:p>
          <w:p w14:paraId="317F4D09">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(2)中国政府采购网福建分网（福建省政府采购网），网址zfcg.czt.fujian.gov.cn。</w:t>
            </w:r>
          </w:p>
          <w:p w14:paraId="7BBB2DD4">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※上述指定媒体的有关信息若不一致，应以中国政府采购网福建分网（福建省政府采购网）发布的为准。</w:t>
            </w:r>
          </w:p>
        </w:tc>
      </w:tr>
      <w:tr w14:paraId="798CAE0D">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8925E6C">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11</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23D0CAE">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23.1</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B1C58F0">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本项目监督管理部门：福州市财政局</w:t>
            </w:r>
          </w:p>
        </w:tc>
      </w:tr>
      <w:tr w14:paraId="78303518">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4FE11C6">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12</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1FCA5E2">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26</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474977C">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根据采购项目特点或政策需要补充的其他新增内容：</w:t>
            </w:r>
          </w:p>
          <w:p w14:paraId="57E4355B">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(1)本项目代理服务费：</w:t>
            </w:r>
          </w:p>
          <w:p w14:paraId="68DFBE92">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本项目收取代理服务费</w:t>
            </w:r>
          </w:p>
          <w:p w14:paraId="6A9ED10F">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代理服务费用收取对象：中标/成交供应商</w:t>
            </w:r>
          </w:p>
          <w:p w14:paraId="69C72D79">
            <w:pPr>
              <w:spacing w:line="480" w:lineRule="atLeas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代理服务费收费标准：1.收费标准以合同包的中标/成交总金额为准，采用差额定率累进法，按年中标金额计算后，按下列标准下浮50%向中标人收取。： ①100(万元)以下收费费率标准：1.5%；100(万元)-500（万元）收费费率标准：0.8%；500（万元）-1000（万元）收费费率标准：0.45%；1000（万元）-5000（万元）收费费率标准：0.25%。2.招标代理服务费由中标/成交供应商领取中标/成交通知书的同时，以转账、电汇、现金存款等付款方式一次性缴清。3.招标代理服务费账户开户名称：福建立成招标代理有限公司，账 号：172458559，开户行：中国民生银行福州广达支行。</w:t>
            </w:r>
          </w:p>
          <w:p w14:paraId="192872EB">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(2)其他：</w:t>
            </w:r>
          </w:p>
          <w:p w14:paraId="3FCD73CB">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所有资格证明文件应是有效、完整、清晰的，有年检要求的应符合规定，有变更事宜的，变更文件应附齐全。在评标过程中乃至确定成交人后，如发现供应商所提供的资格类文件不合法或不真实，仍可废除成交人成交资格并追究成交人的法律责任。2.质疑受理的其他要求： ①质疑人为法人或其他组织的，质疑函需加盖质疑人单位公章；若本项目接受自然人投标且质疑人为自然人的，质疑函需质疑人本人签名。否则质疑将不予受理。 ②在法定质疑期内质疑人须一次性提出针对同一采购程序环节的质疑，二（多）次质疑不予受理。 ③质疑人在递交质疑函时除应提供本磋商文件规定的相关材料外，还须提供质疑人已在福建省政府采购网上公开信息系统上获取磋商文件的证明文件（体现查看时间或获取磋商文件时间，查看时间或获取磋商文件时间以福建省政府采购网上公开信息系统记载为准。），否则递交的质疑函将不予受理。3.在电子响应文件中涉及“全称”、“供应商代表签字”、“单位负责人签字或盖章”的内容可适用打字录入方式完成。4.在电子响应文件中，涉及“加盖单位公章”的内容应使用供应商的CA证书完成加盖电子印章，否则该响应文件无效，相应供应商的投标将被否决。5.在电子响应文件中，若供应商按照本增列内容第⑦点第b项规定加盖其单位电子印章，则出现无全称、供应商代表未签字、单位负责人未签字或盖章等情形，不视为该响应文件无效。6.所有佐证材料应是有效、完整的，若佐证材料有出现仅限非本项目使用的均认定为无效。7</w:t>
            </w:r>
            <w:r>
              <w:rPr>
                <w:rFonts w:asciiTheme="minorEastAsia" w:hAnsiTheme="minorEastAsia" w:cstheme="minorEastAsia"/>
                <w:color w:val="000000" w:themeColor="text1"/>
                <w14:textFill>
                  <w14:solidFill>
                    <w14:schemeClr w14:val="tx1"/>
                  </w14:solidFill>
                </w14:textFill>
              </w:rPr>
              <w:t>.涉及供应商资质、业绩、人员、设备及其他履约能力的评审，均以实际参与本项目投标供应商自身所取得、具有或配备的相关材料为准。属于总公司、分公司、母公司、子公司（含全资或绝对控股子公司）及其他关联主体的资质、业绩、人员、设备等</w:t>
            </w:r>
            <w:r>
              <w:rPr>
                <w:rFonts w:hint="eastAsia" w:asciiTheme="minorEastAsia" w:hAnsiTheme="minorEastAsia" w:cstheme="minorEastAsia"/>
                <w:color w:val="000000" w:themeColor="text1"/>
                <w14:textFill>
                  <w14:solidFill>
                    <w14:schemeClr w14:val="tx1"/>
                  </w14:solidFill>
                </w14:textFill>
              </w:rPr>
              <w:t>均</w:t>
            </w:r>
            <w:r>
              <w:rPr>
                <w:rFonts w:asciiTheme="minorEastAsia" w:hAnsiTheme="minorEastAsia" w:cstheme="minorEastAsia"/>
                <w:color w:val="000000" w:themeColor="text1"/>
                <w14:textFill>
                  <w14:solidFill>
                    <w14:schemeClr w14:val="tx1"/>
                  </w14:solidFill>
                </w14:textFill>
              </w:rPr>
              <w:t>不作为评审的认定依据。</w:t>
            </w:r>
            <w:r>
              <w:rPr>
                <w:rFonts w:hint="eastAsia" w:asciiTheme="minorEastAsia" w:hAnsiTheme="minorEastAsia" w:cstheme="minorEastAsia"/>
                <w:color w:val="000000" w:themeColor="text1"/>
                <w14:textFill>
                  <w14:solidFill>
                    <w14:schemeClr w14:val="tx1"/>
                  </w14:solidFill>
                </w14:textFill>
              </w:rPr>
              <w:t>8.响应文件中开标（报价）一览表中合计响应报价若与系统生成开标（报价）一览表（即系统报价）不一致的以系统中的报价为准，不视为该响应文件无效。9. 提交投标（响应）文件截止时间在每年5月31日之前的，“经审计的上一年度的财务报告”指提交投标（响应）文件截止时间的上一年度或上一年度之前一年经审计的财务报告；提交投标（响应）文件截止时间在每年6月1日之后，“经审计的上一年度的年度财务报告”指提交投标（响应）文件截止时间的上一年度经审计的财务报告。</w:t>
            </w:r>
          </w:p>
          <w:p w14:paraId="47E00518">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※若有与电子竞争性磋商活动有关的规定及内容应在表2中填写，不在此处填写）。</w:t>
            </w:r>
          </w:p>
        </w:tc>
      </w:tr>
      <w:tr w14:paraId="3B50EAFD">
        <w:tblPrEx>
          <w:shd w:val="clear" w:color="auto" w:fill="FFFFFF"/>
          <w:tblCellMar>
            <w:top w:w="0" w:type="dxa"/>
            <w:left w:w="0" w:type="dxa"/>
            <w:bottom w:w="0" w:type="dxa"/>
            <w:right w:w="0" w:type="dxa"/>
          </w:tblCellMar>
        </w:tblPrEx>
        <w:tc>
          <w:tcPr>
            <w:tcW w:w="53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C71CF94">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13</w:t>
            </w:r>
          </w:p>
        </w:tc>
        <w:tc>
          <w:tcPr>
            <w:tcW w:w="584"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5355654">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18.1</w:t>
            </w:r>
          </w:p>
        </w:tc>
        <w:tc>
          <w:tcPr>
            <w:tcW w:w="876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A3DAE34">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合同签订时限：自中标通知书发出之日起30个日历日内。</w:t>
            </w:r>
          </w:p>
        </w:tc>
      </w:tr>
    </w:tbl>
    <w:p w14:paraId="2A53CD8B">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表2</w:t>
      </w:r>
    </w:p>
    <w:tbl>
      <w:tblPr>
        <w:tblStyle w:val="13"/>
        <w:tblW w:w="9878" w:type="dxa"/>
        <w:tblInd w:w="0" w:type="dxa"/>
        <w:shd w:val="clear" w:color="auto" w:fill="FFFFFF"/>
        <w:tblLayout w:type="fixed"/>
        <w:tblCellMar>
          <w:top w:w="0" w:type="dxa"/>
          <w:left w:w="0" w:type="dxa"/>
          <w:bottom w:w="0" w:type="dxa"/>
          <w:right w:w="0" w:type="dxa"/>
        </w:tblCellMar>
      </w:tblPr>
      <w:tblGrid>
        <w:gridCol w:w="545"/>
        <w:gridCol w:w="9333"/>
      </w:tblGrid>
      <w:tr w14:paraId="01749542">
        <w:tblPrEx>
          <w:shd w:val="clear" w:color="auto" w:fill="FFFFFF"/>
          <w:tblCellMar>
            <w:top w:w="0" w:type="dxa"/>
            <w:left w:w="0" w:type="dxa"/>
            <w:bottom w:w="0" w:type="dxa"/>
            <w:right w:w="0" w:type="dxa"/>
          </w:tblCellMar>
        </w:tblPrEx>
        <w:tc>
          <w:tcPr>
            <w:tcW w:w="9878" w:type="dxa"/>
            <w:gridSpan w:val="2"/>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C011AF8">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关于电子竞争性磋商活动的专门规定</w:t>
            </w:r>
          </w:p>
        </w:tc>
      </w:tr>
      <w:tr w14:paraId="1274AB75">
        <w:tblPrEx>
          <w:shd w:val="clear" w:color="auto" w:fill="FFFFFF"/>
          <w:tblCellMar>
            <w:top w:w="0" w:type="dxa"/>
            <w:left w:w="0" w:type="dxa"/>
            <w:bottom w:w="0" w:type="dxa"/>
            <w:right w:w="0" w:type="dxa"/>
          </w:tblCellMar>
        </w:tblPrEx>
        <w:tc>
          <w:tcPr>
            <w:tcW w:w="54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08EAD83">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序号</w:t>
            </w:r>
          </w:p>
        </w:tc>
        <w:tc>
          <w:tcPr>
            <w:tcW w:w="9333"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CA35EB2">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编列内容</w:t>
            </w:r>
          </w:p>
        </w:tc>
      </w:tr>
      <w:tr w14:paraId="46FE00C0">
        <w:tblPrEx>
          <w:shd w:val="clear" w:color="auto" w:fill="FFFFFF"/>
          <w:tblCellMar>
            <w:top w:w="0" w:type="dxa"/>
            <w:left w:w="0" w:type="dxa"/>
            <w:bottom w:w="0" w:type="dxa"/>
            <w:right w:w="0" w:type="dxa"/>
          </w:tblCellMar>
        </w:tblPrEx>
        <w:tc>
          <w:tcPr>
            <w:tcW w:w="54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0E26459">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w:t>
            </w:r>
          </w:p>
        </w:tc>
        <w:tc>
          <w:tcPr>
            <w:tcW w:w="9333"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83070B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电子竞争性磋商活动的专门规定适用于本项目。</w:t>
            </w:r>
          </w:p>
          <w:p w14:paraId="655FFF47">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（2）将磋商文件</w:t>
            </w:r>
          </w:p>
          <w:p w14:paraId="2ED143DA">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p>
          <w:p w14:paraId="2D24BBBE">
            <w:pPr>
              <w:spacing w:line="480" w:lineRule="atLeast"/>
              <w:jc w:val="lef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的内容修正为下列内容：</w:t>
            </w:r>
          </w:p>
          <w:p w14:paraId="75432EAE">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p>
          <w:p w14:paraId="2D62AE11">
            <w:pPr>
              <w:jc w:val="lef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后适用本项目的电子竞争性磋商活动。</w:t>
            </w:r>
          </w:p>
          <w:p w14:paraId="3DBC8889">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（3）将下列内容增列为磋商文件的组成部分（以下简称：“增列内容”）适用本项目的电子竞争性磋商活动，若增列内容与磋商文件其他章节内容不一致，应以增列内容为准：</w:t>
            </w:r>
          </w:p>
          <w:p w14:paraId="04CEB8C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①电子竞争性磋商活动的具体操作流程以福建省政府采购网上公开信息系统设定的为准。</w:t>
            </w:r>
          </w:p>
          <w:p w14:paraId="09927472">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②供应商应在首次响应文件递交截止时间前按照福建省政府采购网上公开信息系统设定的操作流程将电子响应文件1份上传至福建省政府采购网上公开信息系统，电子响应文件应与纸质响应文件保持一致，并以电子响应文件为准。电子响应文件的投标（响应）报价明细表、纸质响应文件的投标（响应）报价明细表、投标客户端的投标（响应）报价明细表应保持一致，并以投标客户端的投标（响应）报价明细表为准。</w:t>
            </w:r>
          </w:p>
          <w:p w14:paraId="5289F2F5">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③若出现福建省政府采购网上公开信息系统设定的意外情形（如：系统故障等），经本项目监督管理部门同意使用纸质响应文件的，应以纸质响应文件为准。</w:t>
            </w:r>
          </w:p>
          <w:p w14:paraId="113A8E07">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④供应商根据磋商小组的要求，在磋商过程中以纸质方式签署确认并提交的澄清或说明、解决方案、图纸图表以及最后报价等资料均为补充响应文件，磋商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14:paraId="0E676109">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⑤供应商应按照福建省政府采购网上公开信息系统要求的评审节点编制电子响应文件，否则磋商小组将按照不利于供应商的内容进行认定。</w:t>
            </w:r>
          </w:p>
          <w:p w14:paraId="2F025C7B">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⑥关于证明材料或资料：</w:t>
            </w:r>
          </w:p>
          <w:p w14:paraId="08A295BB">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a.磋商文件要求原件的，供应商在响应文件中可提供复印件（含扫描件），但同时应准备好原件备查（未能在规定时间内提供原件核查的，将按不利于供应商进行评审）；竞争性磋商文件要求复印件的，供应商在响应文件中提供原件、复印件（含扫描件）皆可；竞争性磋商文件对原件、复印件未作要求的，供应商在响应文件中提供原件、复印件（含扫描件）皆可。</w:t>
            </w:r>
          </w:p>
          <w:p w14:paraId="6056DF8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b.若供应商提供注明“复印件无效”或“复印无效”的证明材料或资料，应结合上文a条款进行判定，若竞争性磋商文件未要求供应商提供原件，供应商提供原件、复印件（含扫描件）均视为满足竞争性磋商文件要求。</w:t>
            </w:r>
          </w:p>
          <w:p w14:paraId="7FC93705">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⑦关于“全称”、“供应商代表签字”及“加盖单位公章”：</w:t>
            </w:r>
          </w:p>
          <w:p w14:paraId="6550AEE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a.在电子响应文件中，涉及“全称”和“供应商代表签字”的内容可使用打字录入方式完成。</w:t>
            </w:r>
          </w:p>
          <w:p w14:paraId="6351D583">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b.在电子响应文件中，涉及“加盖单位公章”的内容应使用供应商的CA证书完成加盖电子印章，否则该响应文件无效，相应供应商的磋商将被否决。</w:t>
            </w:r>
          </w:p>
          <w:p w14:paraId="5578F262">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c.在电子响应文件中，若供应商按照本增列内容第⑦点第b项规定加盖其单位电子印章，则出现无全称、供应商代表未签字等情形，不视为该响应文件无效。</w:t>
            </w:r>
          </w:p>
          <w:p w14:paraId="1BF773BE">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⑧磋商文件接受联合体方式且供应商为联合体的，供应商应以“联合体牵头方”完成电子响应的有关操作（包括但不限于：竞争性磋商文件的获取、提交磋商保证金、编制电子响应文件等）。</w:t>
            </w:r>
          </w:p>
          <w:p w14:paraId="7F200734">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⑨参加磋商活动的供应商代表务必携带供应商的CA证书。供应商的CA证书应能正常、有效使用，否则产生不利后果由供应商承担责任。</w:t>
            </w:r>
          </w:p>
          <w:p w14:paraId="0AC1452A">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⑩参加磋商活动的供应商代表应当在规定的磋商地点等待，并根据磋商小组的要求和安排配合相应磋商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磋商小组要求参加磋商的，均视同为该供应商自动放弃相应权利并完全认可磋商小组在磋商活动中公布的各项数据、意见和结论，且该供应商将被退出本项目磋商，其提交的响应文件和报价将被否决。供应商的上述行为后果由供应商自行承担且不影响磋商小组依法开展后续相应电子竞争性磋商活动</w:t>
            </w:r>
          </w:p>
          <w:p w14:paraId="338705B2">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⑪关于首次响应文件递交截止时间过后</w:t>
            </w:r>
          </w:p>
          <w:p w14:paraId="5DF2424C">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a.有下列情形之一的，供应商的响应无效，其保证金不予退还或通过保函进行索赔：</w:t>
            </w:r>
          </w:p>
          <w:p w14:paraId="31E64623">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a1不同供应商的电子响应文件具有相同内部识别码；</w:t>
            </w:r>
          </w:p>
          <w:p w14:paraId="6A1D6F19">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a2不同供应商的磋商保证金从同一单位或个人的账户转出；</w:t>
            </w:r>
          </w:p>
          <w:p w14:paraId="063C0FBE">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a3供应商的磋商保证金同一合同项下有其他供应商提交的磋商保证金。</w:t>
            </w:r>
          </w:p>
          <w:p w14:paraId="49349097">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⑫其他：</w:t>
            </w:r>
          </w:p>
          <w:p w14:paraId="009BBCE9">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a. 通过远程参与开标流程的供应商，供应商可远程线上解密（相关操作手册可查看福建省政府采购网首页操作指南），现场参与开标流程的供应商请携带CA证书到开标现场进行解密，选择携带CA证书并由代理机构进行解密的应在响应截止时间前到达开标现场，否则不予接收。供应商选择远程线上解密的，无须将CA证书送至开标地点。b.供应商不到开标现场的，请在开标时自行登录采购系统，线上参与开标流程，并按规定在相应时段对响应文件进行远程解密、远程签章。c.供应商应确保自身设施、设备、网络环境状况良好，在操作过程中因供应商自身原因造成无法正常观看开标流程、远程解密或签章的，后果由供应商自行承担。d.在规定的时间内正确提交电子响应文件的供应商在开标时将由系统判定签到情况，供应商应在远程解密开启后在规定时间内使用CA数字证书进行响应文件的解密操作，逾期未解密的视为自行放弃投标。e.开标结束后，供应商应当对开标结果进行签章，并在远程签章开放后的规定时间内完成，逾期未签章的视为认同开标结果。f.远程磋商、远程解密及远程签章的开放起始时间均在开评标过程中临时开启，各环节的解密、签章时限规定为30分钟</w:t>
            </w:r>
            <w:r>
              <w:rPr>
                <w:rFonts w:hint="eastAsia" w:ascii="宋体" w:hAnsi="宋体" w:eastAsia="宋体" w:cs="宋体"/>
                <w:color w:val="000000" w:themeColor="text1"/>
                <w14:textFill>
                  <w14:solidFill>
                    <w14:schemeClr w14:val="tx1"/>
                  </w14:solidFill>
                </w14:textFill>
              </w:rPr>
              <w:t>（签章时限为3分钟）</w:t>
            </w:r>
            <w:r>
              <w:rPr>
                <w:rFonts w:hint="eastAsia" w:asciiTheme="minorEastAsia" w:hAnsiTheme="minorEastAsia" w:cstheme="minorEastAsia"/>
                <w:color w:val="000000" w:themeColor="text1"/>
                <w14:textFill>
                  <w14:solidFill>
                    <w14:schemeClr w14:val="tx1"/>
                  </w14:solidFill>
                </w14:textFill>
              </w:rPr>
              <w:t>，请供应商务必密切关注实时开评标流程，并根据流程在系统内按时操作，否则产生的后果由供应商自行承担。</w:t>
            </w:r>
          </w:p>
          <w:p w14:paraId="71AAF821">
            <w:pPr>
              <w:pStyle w:val="11"/>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（与电子竞争性磋商活动有关的其他规定或补充内容可在此处填写）。</w:t>
            </w:r>
          </w:p>
        </w:tc>
      </w:tr>
    </w:tbl>
    <w:p w14:paraId="196FA762">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专项附件： 评审的标准和方法</w:t>
      </w:r>
    </w:p>
    <w:p w14:paraId="6B752813">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一、磋商小组</w:t>
      </w:r>
    </w:p>
    <w:p w14:paraId="088F5A11">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1.1采购人根据项目的特点依法组建磋商小组。</w:t>
      </w:r>
    </w:p>
    <w:p w14:paraId="7E7EE6B5">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1.2磋商小组</w:t>
      </w:r>
    </w:p>
    <w:p w14:paraId="6565B838">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由采购人代表和评审专家两部分共7人组成， 其中由福建省政府采购评审专家库产生的评审专家5人， 由采购人派出的采购人代表2人。 技术复杂、专业性强的采购项目，评审专家中应当包含1名法律专家。</w:t>
      </w:r>
    </w:p>
    <w:p w14:paraId="0A592FF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1.3磋商小组负责具体磋商和评审事务，并按照下列原则依法独立履行有关职责：</w:t>
      </w:r>
    </w:p>
    <w:p w14:paraId="1A91AE43">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1.3.1评审应保护国家利益、社会公共利益和各方当事人合法权益，提高采购效益，保证项目质量。</w:t>
      </w:r>
    </w:p>
    <w:p w14:paraId="61D6F52A">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1.3.2评审应遵循公平、公正、科学、严谨和择优原则。</w:t>
      </w:r>
    </w:p>
    <w:p w14:paraId="0E882846">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1.3.3评审的依据是磋商文件和响应文件，磋商文件中没有规定的评审标准不得作为评审依据。</w:t>
      </w:r>
    </w:p>
    <w:p w14:paraId="187DBB02">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1.3.4磋商小组应按照磋商文件规定推荐成交候选供应商或根据采购人的授权确定成交人。</w:t>
      </w:r>
    </w:p>
    <w:p w14:paraId="2A7BEA55">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1.3.5评审应遵守下列评审纪律：</w:t>
      </w:r>
    </w:p>
    <w:p w14:paraId="6ED997F7">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①评审情况不得私自外泄，有关信息由采购人或其委托的代理机构统一对外发布。</w:t>
      </w:r>
    </w:p>
    <w:p w14:paraId="2CA7DDCF">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②对采购人或供应商提供的要求保密的资料，不得摘记翻印和外传。</w:t>
      </w:r>
    </w:p>
    <w:p w14:paraId="3EF52A70">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③不得收受供应商或有关人员的任何礼物，不得串联鼓动其他人袒护某供应商。若与供应商存在利害关系，则应主动声明并回避。</w:t>
      </w:r>
    </w:p>
    <w:p w14:paraId="5E69D52A">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④全体磋商小组成员应按照磋商文件规定进行评审，一切认定事项应查有实据且不得弄虚作假。</w:t>
      </w:r>
    </w:p>
    <w:p w14:paraId="1D239B3B">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⑤评审中应充分发扬民主，推荐成交人候选人或根据采购人授权确定成交人后要服从评审报告。</w:t>
      </w:r>
    </w:p>
    <w:p w14:paraId="7A06DA48">
      <w:pPr>
        <w:pStyle w:val="11"/>
        <w:shd w:val="clear" w:color="auto" w:fill="FFFFFF"/>
        <w:spacing w:beforeAutospacing="0" w:afterAutospacing="0" w:line="480" w:lineRule="atLeast"/>
        <w:ind w:firstLine="420"/>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※对违反评审纪律的评委，将取消其评委资格，对评审工作造成严重损失者将予以通报批评乃至追究法律责任。</w:t>
      </w:r>
    </w:p>
    <w:p w14:paraId="73F0F0AB">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二、磋商程序</w:t>
      </w:r>
    </w:p>
    <w:p w14:paraId="7D4DBB57">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2.1磋商程序按照磋商文件第二章第2节“竞争性磋商须知”第14 条“磋商程序以及评审标准和方法”的相关条款规定执行。</w:t>
      </w:r>
    </w:p>
    <w:p w14:paraId="2A18F61D">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方式管理暂行办法》等相关法律法规及财政部门颁布的规范性文件允许的两家供应商进行竞争性磋商采购情形，则提交最后报价的供应商可以为两家。</w:t>
      </w:r>
    </w:p>
    <w:p w14:paraId="1AA6739B">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w:t>
      </w:r>
    </w:p>
    <w:p w14:paraId="7EADB63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2.3只有资格审查和实质性响应审查均合格且按规定提交最后报价的合格供应商才能参加综合评分。</w:t>
      </w:r>
    </w:p>
    <w:p w14:paraId="6933F23B">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三、综合评分的标准和方法</w:t>
      </w:r>
    </w:p>
    <w:p w14:paraId="08E0BFB1">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3.1磋商小组将采用综合评分法对提交最后报价的合格供应商的响应文件和最后报价进行综合评分。如果磋商项目有多个采购包，则按相应采购包分别进行，具体综合评分的标准和方法如下：</w:t>
      </w:r>
    </w:p>
    <w:p w14:paraId="31269F40">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31B82BB3">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3.3.2具体评审标准和方法：</w:t>
      </w:r>
    </w:p>
    <w:p w14:paraId="01713684">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 响应文件满足磋商文件全部实质性要求，且按照评审因素的量化指标综合评审总得分从高到低顺序推荐3名以上成交候选人供应商，其中评审总得分最高的供应商为第一成交候选供应商。</w:t>
      </w:r>
    </w:p>
    <w:p w14:paraId="6F451A2D">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490A2157">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（3）各项评审因素的设置如下：</w:t>
      </w:r>
    </w:p>
    <w:p w14:paraId="24ADE8B0">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采购包1：综合评分法</w:t>
      </w:r>
    </w:p>
    <w:p w14:paraId="3EC478DC">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各项评审因素的设置如下：</w:t>
      </w:r>
    </w:p>
    <w:p w14:paraId="125D705C">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报价部分评分PF 满分为10.0000分</w:t>
      </w:r>
    </w:p>
    <w:p w14:paraId="25AC2422">
      <w:pPr>
        <w:pStyle w:val="11"/>
        <w:spacing w:beforeAutospacing="0" w:afterAutospacing="0" w:line="480" w:lineRule="atLeast"/>
        <w:ind w:firstLine="42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满足招标文件要求且报价最低的为评审基准价，价格得分=（评审基准价/报价）×标准分值</w:t>
      </w:r>
    </w:p>
    <w:p w14:paraId="57F2F45B">
      <w:pPr>
        <w:pStyle w:val="11"/>
        <w:spacing w:beforeAutospacing="0" w:afterAutospacing="0" w:line="480" w:lineRule="atLeast"/>
        <w:ind w:firstLine="42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价格扣除的规则如下：</w:t>
      </w:r>
    </w:p>
    <w:tbl>
      <w:tblPr>
        <w:tblStyle w:val="13"/>
        <w:tblW w:w="5000" w:type="pct"/>
        <w:tblInd w:w="0" w:type="dxa"/>
        <w:tblLayout w:type="autofit"/>
        <w:tblCellMar>
          <w:top w:w="0" w:type="dxa"/>
          <w:left w:w="0" w:type="dxa"/>
          <w:bottom w:w="0" w:type="dxa"/>
          <w:right w:w="0" w:type="dxa"/>
        </w:tblCellMar>
      </w:tblPr>
      <w:tblGrid>
        <w:gridCol w:w="1375"/>
        <w:gridCol w:w="1237"/>
        <w:gridCol w:w="1033"/>
        <w:gridCol w:w="5993"/>
      </w:tblGrid>
      <w:tr w14:paraId="192078A3">
        <w:tblPrEx>
          <w:tblCellMar>
            <w:top w:w="0" w:type="dxa"/>
            <w:left w:w="0" w:type="dxa"/>
            <w:bottom w:w="0" w:type="dxa"/>
            <w:right w:w="0" w:type="dxa"/>
          </w:tblCellMar>
        </w:tblPrEx>
        <w:trPr>
          <w:tblHeader/>
        </w:trPr>
        <w:tc>
          <w:tcPr>
            <w:tcW w:w="2935" w:type="dxa"/>
            <w:tcBorders>
              <w:top w:val="single" w:color="000000" w:sz="6" w:space="0"/>
              <w:left w:val="single" w:color="000000" w:sz="6" w:space="0"/>
              <w:bottom w:val="single" w:color="000000" w:sz="6" w:space="0"/>
              <w:right w:val="single" w:color="000000" w:sz="6" w:space="0"/>
            </w:tcBorders>
            <w:shd w:val="clear" w:color="auto" w:fill="FAFAFA"/>
            <w:tcMar>
              <w:top w:w="0" w:type="dxa"/>
              <w:left w:w="120" w:type="dxa"/>
              <w:bottom w:w="0" w:type="dxa"/>
              <w:right w:w="120" w:type="dxa"/>
            </w:tcMar>
            <w:vAlign w:val="center"/>
          </w:tcPr>
          <w:p w14:paraId="1E953641">
            <w:pPr>
              <w:spacing w:line="480" w:lineRule="atLeast"/>
              <w:rPr>
                <w:rFonts w:hint="eastAsia" w:ascii="宋体" w:hAnsi="宋体" w:eastAsia="宋体" w:cs="宋体"/>
                <w:b/>
                <w:bCs/>
                <w:color w:val="000000" w:themeColor="text1"/>
                <w:kern w:val="0"/>
                <w:sz w:val="24"/>
                <w14:textFill>
                  <w14:solidFill>
                    <w14:schemeClr w14:val="tx1"/>
                  </w14:solidFill>
                </w14:textFill>
              </w:rPr>
            </w:pPr>
            <w:r>
              <w:rPr>
                <w:rFonts w:ascii="宋体" w:hAnsi="宋体" w:eastAsia="宋体" w:cs="宋体"/>
                <w:b/>
                <w:bCs/>
                <w:color w:val="000000" w:themeColor="text1"/>
                <w:kern w:val="0"/>
                <w:sz w:val="24"/>
                <w14:textFill>
                  <w14:solidFill>
                    <w14:schemeClr w14:val="tx1"/>
                  </w14:solidFill>
                </w14:textFill>
              </w:rPr>
              <w:t>项目</w:t>
            </w:r>
          </w:p>
        </w:tc>
        <w:tc>
          <w:tcPr>
            <w:tcW w:w="2935" w:type="dxa"/>
            <w:tcBorders>
              <w:top w:val="single" w:color="000000" w:sz="6" w:space="0"/>
              <w:left w:val="single" w:color="000000" w:sz="6" w:space="0"/>
              <w:bottom w:val="single" w:color="000000" w:sz="6" w:space="0"/>
              <w:right w:val="single" w:color="000000" w:sz="6" w:space="0"/>
            </w:tcBorders>
            <w:shd w:val="clear" w:color="auto" w:fill="FAFAFA"/>
            <w:tcMar>
              <w:top w:w="0" w:type="dxa"/>
              <w:left w:w="120" w:type="dxa"/>
              <w:bottom w:w="0" w:type="dxa"/>
              <w:right w:w="120" w:type="dxa"/>
            </w:tcMar>
            <w:vAlign w:val="center"/>
          </w:tcPr>
          <w:p w14:paraId="5D4F245E">
            <w:pPr>
              <w:spacing w:line="480" w:lineRule="atLeast"/>
              <w:rPr>
                <w:rFonts w:hint="eastAsia" w:ascii="宋体" w:hAnsi="宋体" w:eastAsia="宋体" w:cs="宋体"/>
                <w:b/>
                <w:bCs/>
                <w:color w:val="000000" w:themeColor="text1"/>
                <w:kern w:val="0"/>
                <w:sz w:val="24"/>
                <w14:textFill>
                  <w14:solidFill>
                    <w14:schemeClr w14:val="tx1"/>
                  </w14:solidFill>
                </w14:textFill>
              </w:rPr>
            </w:pPr>
            <w:r>
              <w:rPr>
                <w:rFonts w:ascii="宋体" w:hAnsi="宋体" w:eastAsia="宋体" w:cs="宋体"/>
                <w:b/>
                <w:bCs/>
                <w:color w:val="000000" w:themeColor="text1"/>
                <w:kern w:val="0"/>
                <w:sz w:val="24"/>
                <w14:textFill>
                  <w14:solidFill>
                    <w14:schemeClr w14:val="tx1"/>
                  </w14:solidFill>
                </w14:textFill>
              </w:rPr>
              <w:t>适用对象</w:t>
            </w:r>
          </w:p>
        </w:tc>
        <w:tc>
          <w:tcPr>
            <w:tcW w:w="1467" w:type="dxa"/>
            <w:tcBorders>
              <w:top w:val="single" w:color="000000" w:sz="6" w:space="0"/>
              <w:left w:val="single" w:color="000000" w:sz="6" w:space="0"/>
              <w:bottom w:val="single" w:color="000000" w:sz="6" w:space="0"/>
              <w:right w:val="single" w:color="000000" w:sz="6" w:space="0"/>
            </w:tcBorders>
            <w:shd w:val="clear" w:color="auto" w:fill="FAFAFA"/>
            <w:tcMar>
              <w:top w:w="0" w:type="dxa"/>
              <w:left w:w="120" w:type="dxa"/>
              <w:bottom w:w="0" w:type="dxa"/>
              <w:right w:w="120" w:type="dxa"/>
            </w:tcMar>
            <w:vAlign w:val="center"/>
          </w:tcPr>
          <w:p w14:paraId="4033124D">
            <w:pPr>
              <w:spacing w:line="480" w:lineRule="atLeast"/>
              <w:rPr>
                <w:rFonts w:hint="eastAsia" w:ascii="宋体" w:hAnsi="宋体" w:eastAsia="宋体" w:cs="宋体"/>
                <w:b/>
                <w:bCs/>
                <w:color w:val="000000" w:themeColor="text1"/>
                <w:kern w:val="0"/>
                <w:sz w:val="24"/>
                <w14:textFill>
                  <w14:solidFill>
                    <w14:schemeClr w14:val="tx1"/>
                  </w14:solidFill>
                </w14:textFill>
              </w:rPr>
            </w:pPr>
            <w:r>
              <w:rPr>
                <w:rFonts w:ascii="宋体" w:hAnsi="宋体" w:eastAsia="宋体" w:cs="宋体"/>
                <w:b/>
                <w:bCs/>
                <w:color w:val="000000" w:themeColor="text1"/>
                <w:kern w:val="0"/>
                <w:sz w:val="24"/>
                <w14:textFill>
                  <w14:solidFill>
                    <w14:schemeClr w14:val="tx1"/>
                  </w14:solidFill>
                </w14:textFill>
              </w:rPr>
              <w:t>比例</w:t>
            </w:r>
          </w:p>
        </w:tc>
        <w:tc>
          <w:tcPr>
            <w:tcW w:w="7339" w:type="dxa"/>
            <w:tcBorders>
              <w:top w:val="single" w:color="000000" w:sz="6" w:space="0"/>
              <w:left w:val="single" w:color="000000" w:sz="6" w:space="0"/>
              <w:bottom w:val="single" w:color="000000" w:sz="6" w:space="0"/>
              <w:right w:val="single" w:color="000000" w:sz="6" w:space="0"/>
            </w:tcBorders>
            <w:shd w:val="clear" w:color="auto" w:fill="FAFAFA"/>
            <w:tcMar>
              <w:top w:w="0" w:type="dxa"/>
              <w:left w:w="120" w:type="dxa"/>
              <w:bottom w:w="0" w:type="dxa"/>
              <w:right w:w="120" w:type="dxa"/>
            </w:tcMar>
            <w:vAlign w:val="center"/>
          </w:tcPr>
          <w:p w14:paraId="0251D9E3">
            <w:pPr>
              <w:spacing w:line="480" w:lineRule="atLeast"/>
              <w:rPr>
                <w:rFonts w:hint="eastAsia" w:ascii="宋体" w:hAnsi="宋体" w:eastAsia="宋体" w:cs="宋体"/>
                <w:b/>
                <w:bCs/>
                <w:color w:val="000000" w:themeColor="text1"/>
                <w:kern w:val="0"/>
                <w:sz w:val="24"/>
                <w14:textFill>
                  <w14:solidFill>
                    <w14:schemeClr w14:val="tx1"/>
                  </w14:solidFill>
                </w14:textFill>
              </w:rPr>
            </w:pPr>
            <w:r>
              <w:rPr>
                <w:rFonts w:ascii="宋体" w:hAnsi="宋体" w:eastAsia="宋体" w:cs="宋体"/>
                <w:b/>
                <w:bCs/>
                <w:color w:val="000000" w:themeColor="text1"/>
                <w:kern w:val="0"/>
                <w:sz w:val="24"/>
                <w14:textFill>
                  <w14:solidFill>
                    <w14:schemeClr w14:val="tx1"/>
                  </w14:solidFill>
                </w14:textFill>
              </w:rPr>
              <w:t>描述</w:t>
            </w:r>
          </w:p>
        </w:tc>
      </w:tr>
      <w:tr w14:paraId="5510C6B9">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0DC0CE47">
            <w:pPr>
              <w:spacing w:line="480" w:lineRule="atLeast"/>
              <w:rPr>
                <w:rFonts w:hint="eastAsia" w:ascii="宋体" w:hAnsi="宋体" w:eastAsia="宋体" w:cs="宋体"/>
                <w:color w:val="000000" w:themeColor="text1"/>
                <w:kern w:val="0"/>
                <w:sz w:val="24"/>
                <w14:textFill>
                  <w14:solidFill>
                    <w14:schemeClr w14:val="tx1"/>
                  </w14:solidFill>
                </w14:textFill>
              </w:rPr>
            </w:pPr>
            <w:r>
              <w:rPr>
                <w:rFonts w:ascii="宋体" w:hAnsi="宋体" w:eastAsia="宋体" w:cs="宋体"/>
                <w:color w:val="000000" w:themeColor="text1"/>
                <w:kern w:val="0"/>
                <w:sz w:val="24"/>
                <w14:textFill>
                  <w14:solidFill>
                    <w14:schemeClr w14:val="tx1"/>
                  </w14:solidFill>
                </w14:textFill>
              </w:rPr>
              <w:t>小型、微型企业，监狱企业，残疾人福利性单位</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38B621BB">
            <w:pPr>
              <w:spacing w:line="480" w:lineRule="atLeast"/>
              <w:rPr>
                <w:rFonts w:hint="eastAsia" w:ascii="宋体" w:hAnsi="宋体" w:eastAsia="宋体" w:cs="宋体"/>
                <w:color w:val="000000" w:themeColor="text1"/>
                <w:kern w:val="0"/>
                <w:sz w:val="24"/>
                <w14:textFill>
                  <w14:solidFill>
                    <w14:schemeClr w14:val="tx1"/>
                  </w14:solidFill>
                </w14:textFill>
              </w:rPr>
            </w:pPr>
            <w:r>
              <w:rPr>
                <w:rFonts w:ascii="宋体" w:hAnsi="宋体" w:eastAsia="宋体" w:cs="宋体"/>
                <w:color w:val="000000" w:themeColor="text1"/>
                <w:kern w:val="0"/>
                <w:sz w:val="24"/>
                <w14:textFill>
                  <w14:solidFill>
                    <w14:schemeClr w14:val="tx1"/>
                  </w14:solidFill>
                </w14:textFill>
              </w:rPr>
              <w:t>投标人或者联合体均为小型、微型企业</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3E38D5A8">
            <w:pPr>
              <w:spacing w:line="480" w:lineRule="atLeast"/>
              <w:jc w:val="right"/>
              <w:rPr>
                <w:rFonts w:hint="eastAsia" w:ascii="宋体" w:hAnsi="宋体" w:eastAsia="宋体" w:cs="宋体"/>
                <w:color w:val="000000" w:themeColor="text1"/>
                <w:kern w:val="0"/>
                <w:sz w:val="24"/>
                <w14:textFill>
                  <w14:solidFill>
                    <w14:schemeClr w14:val="tx1"/>
                  </w14:solidFill>
                </w14:textFill>
              </w:rPr>
            </w:pPr>
            <w:r>
              <w:rPr>
                <w:rFonts w:ascii="宋体" w:hAnsi="宋体" w:eastAsia="宋体" w:cs="宋体"/>
                <w:color w:val="000000" w:themeColor="text1"/>
                <w:kern w:val="0"/>
                <w:sz w:val="24"/>
                <w14:textFill>
                  <w14:solidFill>
                    <w14:schemeClr w14:val="tx1"/>
                  </w14:solidFill>
                </w14:textFill>
              </w:rPr>
              <w:t>15.00%</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256955E4">
            <w:pPr>
              <w:spacing w:line="480" w:lineRule="atLeast"/>
              <w:rPr>
                <w:rFonts w:hint="eastAsia" w:ascii="宋体" w:hAnsi="宋体" w:eastAsia="宋体" w:cs="宋体"/>
                <w:color w:val="000000" w:themeColor="text1"/>
                <w:kern w:val="0"/>
                <w:sz w:val="24"/>
                <w14:textFill>
                  <w14:solidFill>
                    <w14:schemeClr w14:val="tx1"/>
                  </w14:solidFill>
                </w14:textFill>
              </w:rPr>
            </w:pPr>
            <w:r>
              <w:rPr>
                <w:rFonts w:ascii="宋体" w:hAnsi="宋体" w:eastAsia="宋体" w:cs="宋体"/>
                <w:color w:val="000000" w:themeColor="text1"/>
                <w:kern w:val="0"/>
                <w:sz w:val="24"/>
                <w14:textFill>
                  <w14:solidFill>
                    <w14:schemeClr w14:val="tx1"/>
                  </w14:solidFill>
                </w14:textFill>
              </w:rPr>
              <w:t>对符合《政府采购促进中小企业发展管理办法》(财库﹝2020﹞46号)及《福建省财政厅关于进一步加大政府采购支持中小企业力度的通知》(闽财规〔2022〕13号)规定的小微企业报价给予价格扣除，用扣除后的价格参加评审。投标人须提供合格的中小企业声明函(格式详见第七章)，否则不予价格扣除。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小微企业同等比例的价格扣除，但必须提供由省级以上监狱管理局、戒毒管理局(含新疆生产建设兵团)出具的属于监狱企业的证明文件，否则评审时不予价格扣除优惠。 3、根据财政部、民政部、中国残联文件(财库[2017]141号)及福建省财政厅、福建省民政厅、福建省残疾人联合会联合发布的《关于进一步落实政府采购支持残疾人就业政策的通知》、福建省财政厅《关于残疾人福利性单位参加政府 采购活动价格扣除的通知》，凡符合上述文件要求条件的残疾人福利性单位在参加政府采购活动时视同小型、微型企业，享受预留份额、评审中价格扣除等促进中小企业发展的政府采购政策。此次若有参加投标的对残疾人福利性单位报价部分给予小微企业同等比例的扣除，但必须提供《残疾人福利性单位声明函》(格式详见第七章)。</w:t>
            </w:r>
          </w:p>
        </w:tc>
      </w:tr>
    </w:tbl>
    <w:p w14:paraId="7FA47833">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技术部分评分PT 满分为74.0000分</w:t>
      </w:r>
    </w:p>
    <w:tbl>
      <w:tblPr>
        <w:tblStyle w:val="13"/>
        <w:tblW w:w="4991"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39"/>
        <w:gridCol w:w="880"/>
        <w:gridCol w:w="1001"/>
        <w:gridCol w:w="6497"/>
      </w:tblGrid>
      <w:tr w14:paraId="3A716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63A44A4A">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项目</w:t>
            </w:r>
          </w:p>
        </w:tc>
        <w:tc>
          <w:tcPr>
            <w:tcW w:w="457" w:type="pct"/>
            <w:vAlign w:val="center"/>
          </w:tcPr>
          <w:p w14:paraId="30C2EC33">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分值</w:t>
            </w:r>
          </w:p>
        </w:tc>
        <w:tc>
          <w:tcPr>
            <w:tcW w:w="520" w:type="pct"/>
            <w:vAlign w:val="center"/>
          </w:tcPr>
          <w:p w14:paraId="40EC28E9">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是否客观项</w:t>
            </w:r>
          </w:p>
        </w:tc>
        <w:tc>
          <w:tcPr>
            <w:tcW w:w="3377" w:type="pct"/>
            <w:vAlign w:val="center"/>
          </w:tcPr>
          <w:p w14:paraId="3EEA37F4">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描述</w:t>
            </w:r>
          </w:p>
        </w:tc>
      </w:tr>
      <w:tr w14:paraId="7F127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2B68D031">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1.技术要求响应情况</w:t>
            </w:r>
          </w:p>
        </w:tc>
        <w:tc>
          <w:tcPr>
            <w:tcW w:w="457" w:type="pct"/>
            <w:vAlign w:val="center"/>
          </w:tcPr>
          <w:p w14:paraId="6F07C276">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37.00</w:t>
            </w:r>
          </w:p>
        </w:tc>
        <w:tc>
          <w:tcPr>
            <w:tcW w:w="520" w:type="pct"/>
            <w:vAlign w:val="center"/>
          </w:tcPr>
          <w:p w14:paraId="17BC20D5">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77" w:type="pct"/>
          </w:tcPr>
          <w:p w14:paraId="27443783">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根据供应商对磋商文件《第三章 采购内容及要求》中“二、技术和服务要求”的各项需求的响应情况进行评分：(1)标示“★”号的技术条款为实质性条款，不得出现负偏离，否则投标无效。(2)未标示符号的技术参数要求【合计37项，评审项1-37】全部满足磋商文件要求的得37分，每负偏离一项扣1分；（3）正偏离均不加分。</w:t>
            </w:r>
          </w:p>
        </w:tc>
      </w:tr>
      <w:tr w14:paraId="09235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02420C8B">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2.项目运营管理体系方案</w:t>
            </w:r>
          </w:p>
        </w:tc>
        <w:tc>
          <w:tcPr>
            <w:tcW w:w="457" w:type="pct"/>
            <w:vAlign w:val="center"/>
          </w:tcPr>
          <w:p w14:paraId="3AE7DA15">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3.00</w:t>
            </w:r>
          </w:p>
        </w:tc>
        <w:tc>
          <w:tcPr>
            <w:tcW w:w="520" w:type="pct"/>
            <w:vAlign w:val="center"/>
          </w:tcPr>
          <w:p w14:paraId="6BA62A33">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否</w:t>
            </w:r>
          </w:p>
        </w:tc>
        <w:tc>
          <w:tcPr>
            <w:tcW w:w="3377" w:type="pct"/>
          </w:tcPr>
          <w:p w14:paraId="60ADDDD0">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根据供应商提供的针对本项目的项目运营管理体系方案（包括但不限于①服务理念，②整体目标，③管理方式，④服务质量控制方式等）进行评审：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齐全、内容与要点相符但仅有纲要、内容简略，未展开详细阐述但基本能够适用于本项目的得2.7分；方案所包含的要点有缺漏、未提供或内容存在明显错误、内容明显不适用于本项目需求的均不得分。</w:t>
            </w:r>
          </w:p>
        </w:tc>
      </w:tr>
      <w:tr w14:paraId="14C82E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2B808BB6">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3.重要参观接待（含涉外）、会务服务应对方案</w:t>
            </w:r>
          </w:p>
        </w:tc>
        <w:tc>
          <w:tcPr>
            <w:tcW w:w="457" w:type="pct"/>
            <w:vAlign w:val="center"/>
          </w:tcPr>
          <w:p w14:paraId="7D7C8D1F">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3.00</w:t>
            </w:r>
          </w:p>
        </w:tc>
        <w:tc>
          <w:tcPr>
            <w:tcW w:w="520" w:type="pct"/>
            <w:vAlign w:val="center"/>
          </w:tcPr>
          <w:p w14:paraId="2E3ECD75">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否</w:t>
            </w:r>
          </w:p>
        </w:tc>
        <w:tc>
          <w:tcPr>
            <w:tcW w:w="3377" w:type="pct"/>
          </w:tcPr>
          <w:p w14:paraId="3A5CCA43">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根据供应商提供的针对本项目的重要参观接待（含涉外）、会务服务应对方案（包括但不限于①人员，②设施或设备，③服务保障措施与流程，④安保及应急预案等）进行评审：方案包含的要点齐全无缺漏项、内容与要点相符、每个要点均有展开详细的阐述且能够适用于本项目得3分；方案所包含的要点齐全、内容与要点相符、每个要点均有展开阐述（没有特别具体）但基本能够适用于本项目的得2.8分；方案所包含的要点齐全、内容与要点相符但仅有纲要、内容简略，未展开详细阐述但基本能够适用于本项目的得2.7分；方案所包含的要点有缺漏、未提供或内容存在明显错误、内容明显不适用于本项目需求的均不得分。</w:t>
            </w:r>
          </w:p>
        </w:tc>
      </w:tr>
      <w:tr w14:paraId="475BB0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5E9E6DE5">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4.保密安全保障措施方案</w:t>
            </w:r>
          </w:p>
        </w:tc>
        <w:tc>
          <w:tcPr>
            <w:tcW w:w="457" w:type="pct"/>
            <w:vAlign w:val="center"/>
          </w:tcPr>
          <w:p w14:paraId="7EEAD616">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2.00</w:t>
            </w:r>
          </w:p>
        </w:tc>
        <w:tc>
          <w:tcPr>
            <w:tcW w:w="520" w:type="pct"/>
            <w:vAlign w:val="center"/>
          </w:tcPr>
          <w:p w14:paraId="1223F96A">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否</w:t>
            </w:r>
          </w:p>
        </w:tc>
        <w:tc>
          <w:tcPr>
            <w:tcW w:w="3377" w:type="pct"/>
          </w:tcPr>
          <w:p w14:paraId="09240EE2">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根据供应商提供的针对本项目的保密安全保障措施方案（包括但不限于①保密措施，②培训措施，③人员管理制度等）进行评审：方案包含的要点齐全无缺漏项、内容与要点相符、每个要点均有展开详细的阐述且能够适用于本项目得2分；方案所包含的要点齐全、内容与要点相符、每个要点均有展开阐述（没有特别具体）但基本能够适用于本项目的得1.8分；方案所包含的要点齐全、内容与要点相符但仅有纲要、内容简略，未展开详细阐述但基本能够适用于本项目的得1.7分；方案所包含的要点有缺漏、未提供或内容存在明显错误、内容明显不适用于本项目需求的均不得分。</w:t>
            </w:r>
          </w:p>
        </w:tc>
      </w:tr>
      <w:tr w14:paraId="5E67E3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238EBB0D">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5.设施、设备维护运行、消防管理方案</w:t>
            </w:r>
          </w:p>
        </w:tc>
        <w:tc>
          <w:tcPr>
            <w:tcW w:w="457" w:type="pct"/>
            <w:vAlign w:val="center"/>
          </w:tcPr>
          <w:p w14:paraId="35AA9D11">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2.00</w:t>
            </w:r>
          </w:p>
        </w:tc>
        <w:tc>
          <w:tcPr>
            <w:tcW w:w="520" w:type="pct"/>
            <w:vAlign w:val="center"/>
          </w:tcPr>
          <w:p w14:paraId="6D58699E">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否</w:t>
            </w:r>
          </w:p>
        </w:tc>
        <w:tc>
          <w:tcPr>
            <w:tcW w:w="3377" w:type="pct"/>
          </w:tcPr>
          <w:p w14:paraId="73D8C76F">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根据供应商提供的针对本项目的设施、设备维护运行、消防管理方案（包括但不限于①管理流程，②工作细则，③质量标准等）进行评审：方案包含的要点齐全无缺漏项、内容与要点相符、每个要点均有展开详细的阐述且能够适用于本项目得2分；方案所包含的要点齐全、内容与要点相符、每个要点均有展开阐述（没有特别具体）但基本能够适用于本项目的得1.8分；方案所包含的要点齐全、内容与要点相符但仅有纲要、内容简略，未展开详细阐述但基本能够适用于本项目的得1.7分；方案所包含的要点有缺漏、未提供或内容存在明显错误、内容明显不适用于本项目需求的均不得分。</w:t>
            </w:r>
          </w:p>
        </w:tc>
      </w:tr>
      <w:tr w14:paraId="3D783F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527DB7E5">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6.公共秩序维护服务、景观绿化管理及车辆停放管理方案</w:t>
            </w:r>
          </w:p>
        </w:tc>
        <w:tc>
          <w:tcPr>
            <w:tcW w:w="457" w:type="pct"/>
            <w:vAlign w:val="center"/>
          </w:tcPr>
          <w:p w14:paraId="3C04AE0C">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2.00</w:t>
            </w:r>
          </w:p>
        </w:tc>
        <w:tc>
          <w:tcPr>
            <w:tcW w:w="520" w:type="pct"/>
            <w:vAlign w:val="center"/>
          </w:tcPr>
          <w:p w14:paraId="1A95E4BE">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否</w:t>
            </w:r>
          </w:p>
        </w:tc>
        <w:tc>
          <w:tcPr>
            <w:tcW w:w="3377" w:type="pct"/>
          </w:tcPr>
          <w:p w14:paraId="03751376">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根据供应商提供的针对本项目的公共秩序维护服务、景观绿化管理及车辆停放管理方案（包括但不限于①管理流程，②工作细则，③质量标准等）进行评审：方案包含的要点齐全无缺漏项、内容与要点相符、每个要点均有展开详细的阐述且能够适用于本项目得2分；方案所包含的要点齐全、内容与要点相符、每个要点均有展开阐述（没有特别具体）但基本能够适用于本项目的得1.8分；方案所包含的要点齐全、内容与要点相符但仅有纲要、内容简略，未展开详细阐述但基本能够适用于本项目的得1.7分；方案所包含的要点有缺漏、未提供或内容存在明显错误、内容明显不适用于本项目需求的均不得分。</w:t>
            </w:r>
          </w:p>
        </w:tc>
      </w:tr>
      <w:tr w14:paraId="78A9FB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492717B6">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7.后勤保障服务突发事件处理应急方案</w:t>
            </w:r>
          </w:p>
        </w:tc>
        <w:tc>
          <w:tcPr>
            <w:tcW w:w="457" w:type="pct"/>
            <w:vAlign w:val="center"/>
          </w:tcPr>
          <w:p w14:paraId="7BC58166">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2.00</w:t>
            </w:r>
          </w:p>
        </w:tc>
        <w:tc>
          <w:tcPr>
            <w:tcW w:w="520" w:type="pct"/>
            <w:vAlign w:val="center"/>
          </w:tcPr>
          <w:p w14:paraId="63020F8D">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否</w:t>
            </w:r>
          </w:p>
        </w:tc>
        <w:tc>
          <w:tcPr>
            <w:tcW w:w="3377" w:type="pct"/>
          </w:tcPr>
          <w:p w14:paraId="611B8AD5">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根据供应商提供的针对本项目的后勤保障服务突发事件处理应急方案（包括但不限于日常管理中常见的突发事件包括①火警，②台风，③暴雨，④电梯困人等制定相应的应急预案等）进行评审：方案包含的要点齐全无缺漏项、内容与要点相符、每个要点均有展开详细的阐述且能够适用于本项目得2分；方案所包含的要点齐全、内容与要点相符、每个要点均有展开阐述（没有特别具体）但基本能够适用于本项目的得1.8分；方案所包含的要点齐全、内容与要点相符但仅有纲要、内容简略，未展开详细阐述但基本能够适用于本项目的得1.7分；方案所包含的要点有缺漏、未提供或内容存在明显错误、内容明显不适用于本项目需求的均不得分。</w:t>
            </w:r>
          </w:p>
        </w:tc>
      </w:tr>
      <w:tr w14:paraId="01AA5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2C2E9D74">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8.学员宿舍管理服务方案</w:t>
            </w:r>
          </w:p>
        </w:tc>
        <w:tc>
          <w:tcPr>
            <w:tcW w:w="457" w:type="pct"/>
            <w:vAlign w:val="center"/>
          </w:tcPr>
          <w:p w14:paraId="135B2FDA">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2.00</w:t>
            </w:r>
          </w:p>
        </w:tc>
        <w:tc>
          <w:tcPr>
            <w:tcW w:w="520" w:type="pct"/>
            <w:vAlign w:val="center"/>
          </w:tcPr>
          <w:p w14:paraId="2C478754">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否</w:t>
            </w:r>
          </w:p>
        </w:tc>
        <w:tc>
          <w:tcPr>
            <w:tcW w:w="3377" w:type="pct"/>
          </w:tcPr>
          <w:p w14:paraId="4F1F5FC8">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根据供应商提供的针对本项目的学员宿舍管理服务方案（包括但不限于①客房服务、②工作纪律、③奖惩机制、④整改闭环流程、⑤人员培训配套等）进行评审：方案包含的要点齐全无缺漏项、内容与要点相符、每个要点均有展开详细的阐述且能够适用于本项目得2分；方案所包含的要点齐全、内容与要点相符、每个要点均有展开阐述（没有特别具体）但基本能够适用于本项目的得1.8分；方案所包含的要点齐全、内容与要点相符但仅有纲要、内容简略，未展开详细阐述但基本能够适用于本项目的得1.7分；方案所包含的要点有缺漏、未提供或内容存在明显错误、内容明显不适用于本项目需求的均不得分。</w:t>
            </w:r>
          </w:p>
        </w:tc>
      </w:tr>
      <w:tr w14:paraId="7CEE7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7E4B5E8E">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9.餐饮管理服务方案</w:t>
            </w:r>
          </w:p>
        </w:tc>
        <w:tc>
          <w:tcPr>
            <w:tcW w:w="457" w:type="pct"/>
            <w:vAlign w:val="center"/>
          </w:tcPr>
          <w:p w14:paraId="2C7771C3">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2.00</w:t>
            </w:r>
          </w:p>
        </w:tc>
        <w:tc>
          <w:tcPr>
            <w:tcW w:w="520" w:type="pct"/>
            <w:vAlign w:val="center"/>
          </w:tcPr>
          <w:p w14:paraId="7D5414BC">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否</w:t>
            </w:r>
          </w:p>
        </w:tc>
        <w:tc>
          <w:tcPr>
            <w:tcW w:w="3377" w:type="pct"/>
          </w:tcPr>
          <w:p w14:paraId="1DAC7AC4">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根据供应商提供的针对本项目的餐饮管理服务方案（包括但不限于：①食堂自助餐、②政（公）务接待、③菜品创新、④后厨管理、⑤奖惩机制等）进行评审：方案包含的要点齐全无缺漏项、内容与要点相符、每个要点均有展开详细的阐述且能够适用于本项目得2分；方案所包含的要点齐全、内容与要点相符、每个要点均有展开阐述（没有特别具体）但基本能够适用于本项目的得1.8分；方案所包含的要点齐全、内容与要点相符但仅有纲要、内容简略，未展开详细阐述但基本能够适用于本项目的得1.7分；方案所包含的要点有缺漏、未提供或内容存在明显错误、内容明显不适用于本项目需求的均不得分。</w:t>
            </w:r>
          </w:p>
        </w:tc>
      </w:tr>
      <w:tr w14:paraId="04457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64760C65">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10.项目负责人</w:t>
            </w:r>
          </w:p>
        </w:tc>
        <w:tc>
          <w:tcPr>
            <w:tcW w:w="457" w:type="pct"/>
            <w:vAlign w:val="center"/>
          </w:tcPr>
          <w:p w14:paraId="1FC65A08">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3.00</w:t>
            </w:r>
          </w:p>
        </w:tc>
        <w:tc>
          <w:tcPr>
            <w:tcW w:w="520" w:type="pct"/>
            <w:vAlign w:val="center"/>
          </w:tcPr>
          <w:p w14:paraId="1778A87F">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77" w:type="pct"/>
          </w:tcPr>
          <w:p w14:paraId="0AE4BD79">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拟派本项目的项目负责人：（1）具有酒店管理或工商管理相关专业大学本科或以上学历的得1分；（2）具备中级及以上职称的得1分；（3）具备5年及以上酒店管理或后勤管理项目负责人（或项目经理）工作经历的得1分；满分3分。须提供学历证书复印件、职称证书复印件、工作经历任职期间劳动合同、任职时长及任职职务证明材料以及递交首轮响应文件截止时间前六个月内任一个月（不含递交首轮响应文件截止时间当月）供应商为其缴纳社保的凭证并加盖供应商公章，条件不符或相关证明材料不齐全的不得对应分值。 注：同一人员承担本项目不同岗位不重复计分。</w:t>
            </w:r>
          </w:p>
        </w:tc>
      </w:tr>
      <w:tr w14:paraId="4791F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7872211B">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11.餐饮负责人</w:t>
            </w:r>
          </w:p>
        </w:tc>
        <w:tc>
          <w:tcPr>
            <w:tcW w:w="457" w:type="pct"/>
            <w:vAlign w:val="center"/>
          </w:tcPr>
          <w:p w14:paraId="4D6D050A">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3.00</w:t>
            </w:r>
          </w:p>
        </w:tc>
        <w:tc>
          <w:tcPr>
            <w:tcW w:w="520" w:type="pct"/>
            <w:vAlign w:val="center"/>
          </w:tcPr>
          <w:p w14:paraId="6A6730C3">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77" w:type="pct"/>
          </w:tcPr>
          <w:p w14:paraId="13C6AAC5">
            <w:pPr>
              <w:pStyle w:val="18"/>
              <w:spacing w:line="360" w:lineRule="auto"/>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拟派本项目的餐饮负责人：（1）具有食品相关专业大学本科或以上学历的得1分；（2）持有公共营养师三级/高级工（或以上）证书的得1分；（3）具备5年及以上四星级及以上酒店工作经历的得1分；满分3分。须提供学历证书复印件、公共营养师证书在国家职业技能人才评价证书全国联网查询（http://zscx.osta.org.cn/或https://www.12333.gov.cn/）查询结果截图、工作经历任职期间劳动合同、任职时长及任职职务证明材料,以及递交首轮响应文件截止时间前六个月内任一个月（不含递交首轮响应文件截止时间当月）供应商为其缴纳社保的凭证并加盖供应商公章，条件不符或相关证明材料不齐全的不得对应分值。注：同一人员承担本项目不同岗位不重复计分。</w:t>
            </w:r>
          </w:p>
        </w:tc>
      </w:tr>
      <w:tr w14:paraId="2926BD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4624E8FF">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12.财务负责人</w:t>
            </w:r>
          </w:p>
        </w:tc>
        <w:tc>
          <w:tcPr>
            <w:tcW w:w="457" w:type="pct"/>
            <w:vAlign w:val="center"/>
          </w:tcPr>
          <w:p w14:paraId="110B557B">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3.00</w:t>
            </w:r>
          </w:p>
        </w:tc>
        <w:tc>
          <w:tcPr>
            <w:tcW w:w="520" w:type="pct"/>
            <w:vAlign w:val="center"/>
          </w:tcPr>
          <w:p w14:paraId="7ADB1729">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77" w:type="pct"/>
          </w:tcPr>
          <w:p w14:paraId="42148B09">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拟派本项目的财务负责人：（1）具有高级会计师职称的得2分，具有中级会计师职称的得1分；（2）具备5年及以上财务负责人工作经历的得1分；满分3分。须提供会计师证书复印件、工作经历任职期间劳动合同、任职时长及任职职务证明材料,以及递交首轮响应文件截止时间前六个月内任一个月（不含递交首轮响应文件截止时间当月）供应商为其缴纳社保的凭证并加盖供应商公章，条件不符或相关证明材料不齐全的不得对应分值。注：同一人员承担本项目不同岗位不重复计分，职称只取最高级计分。</w:t>
            </w:r>
          </w:p>
        </w:tc>
      </w:tr>
      <w:tr w14:paraId="3B20B4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4E51D969">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13.工程负责人</w:t>
            </w:r>
          </w:p>
        </w:tc>
        <w:tc>
          <w:tcPr>
            <w:tcW w:w="457" w:type="pct"/>
            <w:vAlign w:val="center"/>
          </w:tcPr>
          <w:p w14:paraId="350E6B95">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2.00</w:t>
            </w:r>
          </w:p>
        </w:tc>
        <w:tc>
          <w:tcPr>
            <w:tcW w:w="520" w:type="pct"/>
            <w:vAlign w:val="center"/>
          </w:tcPr>
          <w:p w14:paraId="05421630">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77" w:type="pct"/>
          </w:tcPr>
          <w:p w14:paraId="5359E7DC">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拟派本项目的工程负责人：（1）具备施工相关中级及以上职称的得1分；（2）具备5年及以上工程负责人工作经历的得1分，满分2分。须提供职称证书复印件、工作经历任职期间劳动合同、任职时长及任职职务证明材料,以及递交首轮响应文件截止时间前六个月内任一个月（不含递交首轮响应文件截止时间当月）供应商为其缴纳社保的凭证并加盖供应商公章，条件不符或相关证明材料不齐全的不得对应分值。同一人员承担本项目不同岗位不重复计分。</w:t>
            </w:r>
          </w:p>
        </w:tc>
      </w:tr>
      <w:tr w14:paraId="4B70AF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70ABC562">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14.安保负责人</w:t>
            </w:r>
          </w:p>
        </w:tc>
        <w:tc>
          <w:tcPr>
            <w:tcW w:w="457" w:type="pct"/>
            <w:vAlign w:val="center"/>
          </w:tcPr>
          <w:p w14:paraId="08C0278F">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2.00</w:t>
            </w:r>
          </w:p>
        </w:tc>
        <w:tc>
          <w:tcPr>
            <w:tcW w:w="520" w:type="pct"/>
            <w:vAlign w:val="center"/>
          </w:tcPr>
          <w:p w14:paraId="4EBA3C3D">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77" w:type="pct"/>
          </w:tcPr>
          <w:p w14:paraId="59A5DF34">
            <w:pPr>
              <w:pStyle w:val="18"/>
              <w:spacing w:line="360" w:lineRule="auto"/>
              <w:jc w:val="both"/>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拟派本项目的安保负责人：（1）持有退出现役证书（包含军官（警官）转业证书、军官（警官）复员证书、文职干部转业证书、文职干部复员证书、士官退役证、义务兵退出现役证）的得1分；（2）具备5年及以上安保负责人工作经历的得1分，满分2分。须提供证书复印件、工作经历任职期间劳动合同、任职时长及任职职务证明材料,以及递交首轮响应文件截止时间前六个月内任一个月（不含递交首轮响应文件截止时间当月）供应商为其缴纳社保的凭证并加盖供应商公章，条件不符或相关证明材料不齐全的不得对应分值。注：同一人员承担本项目不同岗位不重复计分。</w:t>
            </w:r>
          </w:p>
        </w:tc>
      </w:tr>
      <w:tr w14:paraId="23142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3CF935EF">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15.涉外服务能力</w:t>
            </w:r>
          </w:p>
        </w:tc>
        <w:tc>
          <w:tcPr>
            <w:tcW w:w="457" w:type="pct"/>
            <w:vAlign w:val="center"/>
          </w:tcPr>
          <w:p w14:paraId="3F96D6FC">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3.00</w:t>
            </w:r>
          </w:p>
        </w:tc>
        <w:tc>
          <w:tcPr>
            <w:tcW w:w="520" w:type="pct"/>
            <w:vAlign w:val="center"/>
          </w:tcPr>
          <w:p w14:paraId="18C24E20">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77" w:type="pct"/>
          </w:tcPr>
          <w:p w14:paraId="713BED86">
            <w:pPr>
              <w:pStyle w:val="18"/>
              <w:spacing w:line="360" w:lineRule="auto"/>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供应商拟派本项目的服务团队中有通过大学英语六级（CET-6）的（成绩425分及以上）或通过高等学校英语专业八级的，每投入1人得1分，满分3分。须同时提供以下证明材料：TEM专业八级证书或CET-6在中国教育考试网（https://www.neea.edu.cn/）的成绩查询截图、及递交首轮响应文件截止时间前六个月内任一个月（不含递交首轮响应文件截止时间当月）供应商为其缴纳社保的凭证并加盖供应商公章，条件不符或相关证明材料不齐全的不得分。注：同一人员承担本项目不同岗位不重复计分。</w:t>
            </w:r>
          </w:p>
        </w:tc>
      </w:tr>
      <w:tr w14:paraId="02BEA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4" w:type="pct"/>
            <w:vAlign w:val="center"/>
          </w:tcPr>
          <w:p w14:paraId="5833E8A5">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16.服务保障能力</w:t>
            </w:r>
          </w:p>
        </w:tc>
        <w:tc>
          <w:tcPr>
            <w:tcW w:w="457" w:type="pct"/>
            <w:vAlign w:val="center"/>
          </w:tcPr>
          <w:p w14:paraId="5A70D735">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3.00</w:t>
            </w:r>
          </w:p>
        </w:tc>
        <w:tc>
          <w:tcPr>
            <w:tcW w:w="520" w:type="pct"/>
            <w:vAlign w:val="center"/>
          </w:tcPr>
          <w:p w14:paraId="35FD0138">
            <w:pPr>
              <w:pStyle w:val="18"/>
              <w:spacing w:line="360" w:lineRule="auto"/>
              <w:jc w:val="center"/>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77" w:type="pct"/>
          </w:tcPr>
          <w:p w14:paraId="46248993">
            <w:pPr>
              <w:pStyle w:val="18"/>
              <w:spacing w:line="360" w:lineRule="auto"/>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供应商拟派本项目的服务团队中具有餐厅服务员或客房服务员或会展服务师证书，级别为三级/高级工及以上的，每提供1人得1分，满分3分。须同时提供以下证明材料：证书在国家职业技能人才评价证书全国联网查询（http://zscx.osta.org.cn/或https://www.12333.gov.cn/）查询结果截图、及递交首轮响应文件截止时间前六个月内任一个月（不含递交首轮响应文件截止时间当月）供应商为其缴纳社保的凭证并加盖供应商公章，条件不符或相关证明材料不齐全的不得分。注：同一人员承担本项目不同岗位不重复计分。</w:t>
            </w:r>
          </w:p>
        </w:tc>
      </w:tr>
    </w:tbl>
    <w:p w14:paraId="6791E378">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商务部分评分PB 满分为16.0000分</w:t>
      </w:r>
    </w:p>
    <w:tbl>
      <w:tblPr>
        <w:tblStyle w:val="13"/>
        <w:tblW w:w="4992"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33"/>
        <w:gridCol w:w="879"/>
        <w:gridCol w:w="991"/>
        <w:gridCol w:w="6516"/>
      </w:tblGrid>
      <w:tr w14:paraId="127A9A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pct"/>
            <w:vAlign w:val="center"/>
          </w:tcPr>
          <w:p w14:paraId="62D05BDE">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项目</w:t>
            </w:r>
          </w:p>
        </w:tc>
        <w:tc>
          <w:tcPr>
            <w:tcW w:w="457" w:type="pct"/>
            <w:vAlign w:val="center"/>
          </w:tcPr>
          <w:p w14:paraId="6E614C5B">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分值</w:t>
            </w:r>
          </w:p>
        </w:tc>
        <w:tc>
          <w:tcPr>
            <w:tcW w:w="515" w:type="pct"/>
            <w:vAlign w:val="center"/>
          </w:tcPr>
          <w:p w14:paraId="25BB30CD">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是否客观项</w:t>
            </w:r>
          </w:p>
        </w:tc>
        <w:tc>
          <w:tcPr>
            <w:tcW w:w="3387" w:type="pct"/>
            <w:vAlign w:val="center"/>
          </w:tcPr>
          <w:p w14:paraId="194BF820">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描述</w:t>
            </w:r>
          </w:p>
        </w:tc>
      </w:tr>
      <w:tr w14:paraId="76AA2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pct"/>
            <w:vAlign w:val="center"/>
          </w:tcPr>
          <w:p w14:paraId="047F2C8F">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1.满意度</w:t>
            </w:r>
          </w:p>
        </w:tc>
        <w:tc>
          <w:tcPr>
            <w:tcW w:w="457" w:type="pct"/>
            <w:vAlign w:val="center"/>
          </w:tcPr>
          <w:p w14:paraId="1DDD2B97">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4.00</w:t>
            </w:r>
          </w:p>
        </w:tc>
        <w:tc>
          <w:tcPr>
            <w:tcW w:w="515" w:type="pct"/>
            <w:vAlign w:val="center"/>
          </w:tcPr>
          <w:p w14:paraId="48DDF7D4">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87" w:type="pct"/>
          </w:tcPr>
          <w:p w14:paraId="06794DCC">
            <w:pPr>
              <w:pStyle w:val="18"/>
              <w:spacing w:line="360" w:lineRule="auto"/>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根据供应商自2023年1月1日(以合同签订时间为准)至递交首轮响应文件截止时间以来已完成或正在履约的综合后勤管理项目（至少包含住宿、食堂餐饮、培训服务、会议服务、智能化设备服务、固定资产管理），获得过采购单位满意度评价结果进行评分：评价结论为满意或优秀，或评价得分在95分及以上的，每提供一份得2分，满分4分。须同时提供以下四项证明材料，否则不计分：①中标(成交)公告(提供相关网站中标(成交)公告的下载网页及其网址)；②中标(成交)通知书扫描件；③采购合同文本扫描件；④由业主单位盖章出具的满意度评价材料，（上述材料中应有一项能体现出包含住宿、餐饮的内容）不提供或提供的材料不全不得分。</w:t>
            </w:r>
          </w:p>
        </w:tc>
      </w:tr>
      <w:tr w14:paraId="0D7CA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pct"/>
            <w:vAlign w:val="center"/>
          </w:tcPr>
          <w:p w14:paraId="22F3B297">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2.接待能力</w:t>
            </w:r>
          </w:p>
        </w:tc>
        <w:tc>
          <w:tcPr>
            <w:tcW w:w="457" w:type="pct"/>
            <w:vAlign w:val="center"/>
          </w:tcPr>
          <w:p w14:paraId="7A170CB7">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4.00</w:t>
            </w:r>
          </w:p>
        </w:tc>
        <w:tc>
          <w:tcPr>
            <w:tcW w:w="515" w:type="pct"/>
            <w:vAlign w:val="center"/>
          </w:tcPr>
          <w:p w14:paraId="4AE169C5">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87" w:type="pct"/>
          </w:tcPr>
          <w:p w14:paraId="44A381EF">
            <w:pPr>
              <w:pStyle w:val="18"/>
              <w:spacing w:line="360" w:lineRule="auto"/>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供应商具备重大活动、政（公）务接待、重要会议餐饮及综合保障服务经验等，且能提供有效佐证材料（如接待合同、甲方证明、感谢信等）的，每提供一项得0.5分，满分4分。未提供佐证材料或无相关承接经历的不得分。注：同一服务单位不重复计分。</w:t>
            </w:r>
          </w:p>
        </w:tc>
      </w:tr>
      <w:tr w14:paraId="23A34F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pct"/>
            <w:vAlign w:val="center"/>
          </w:tcPr>
          <w:p w14:paraId="01B1BAF2">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3.管理经验</w:t>
            </w:r>
          </w:p>
        </w:tc>
        <w:tc>
          <w:tcPr>
            <w:tcW w:w="457" w:type="pct"/>
            <w:vAlign w:val="center"/>
          </w:tcPr>
          <w:p w14:paraId="1A5D7C6E">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3.00</w:t>
            </w:r>
          </w:p>
        </w:tc>
        <w:tc>
          <w:tcPr>
            <w:tcW w:w="515" w:type="pct"/>
            <w:vAlign w:val="center"/>
          </w:tcPr>
          <w:p w14:paraId="0F7B4961">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87" w:type="pct"/>
          </w:tcPr>
          <w:p w14:paraId="07BAC850">
            <w:pPr>
              <w:pStyle w:val="18"/>
              <w:spacing w:line="360" w:lineRule="auto"/>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供应商具有自营(或托管)的酒店（含饭店、宾馆）管理项目情况进行打分：每提供一家的得1分，满分3分。（1）属于自营酒店的，须同时提供以下相关证明材料：①酒店经营主体为供应商自身或其分公司的，须提供工商登记信息、营业执照等能够证明经营主体关系的材料；②酒店经营主体为供应商投资设立或控制的其他企业的，须提供工商登记、股权关系证明材料，或国家企业信用信息公示系统查询截图等能够证明供应商直接全资持有或绝对控股（持股比例超过50%）该酒店经营主体的材料；③提供能够佐证酒店与上述经营主体之间存在对应关系的官方证明材料（如特种行业许可证等，所载明的经营主体名称、经营场所地址等信息应能够与所经营酒店相互印证）。（2）属于受托管理酒店的，须提供酒店委托管理合同（或协议）等能够证明供应商实际承担该酒店经营管理职责的材料。</w:t>
            </w:r>
          </w:p>
        </w:tc>
      </w:tr>
      <w:tr w14:paraId="3F7EF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pct"/>
            <w:vAlign w:val="center"/>
          </w:tcPr>
          <w:p w14:paraId="4B3826EF">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4.应急保障服务承诺</w:t>
            </w:r>
          </w:p>
        </w:tc>
        <w:tc>
          <w:tcPr>
            <w:tcW w:w="457" w:type="pct"/>
            <w:vAlign w:val="center"/>
          </w:tcPr>
          <w:p w14:paraId="443A8E05">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2.00</w:t>
            </w:r>
          </w:p>
        </w:tc>
        <w:tc>
          <w:tcPr>
            <w:tcW w:w="515" w:type="pct"/>
            <w:vAlign w:val="center"/>
          </w:tcPr>
          <w:p w14:paraId="300CAF31">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87" w:type="pct"/>
          </w:tcPr>
          <w:p w14:paraId="71A9B0B5">
            <w:pPr>
              <w:pStyle w:val="18"/>
              <w:spacing w:line="360" w:lineRule="auto"/>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供应商承诺：采购人举行重大办学活动时(会议、培训等),供应商可无条件在采购人提出需求12小时内额外提供不少于30人的应急团队，保障重大活动顺利进行的得2分，未承诺不得分。须提供承诺函，承诺函格式自拟</w:t>
            </w:r>
          </w:p>
        </w:tc>
      </w:tr>
      <w:tr w14:paraId="59BB2B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1" w:type="pct"/>
            <w:vAlign w:val="center"/>
          </w:tcPr>
          <w:p w14:paraId="10370959">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5.游泳池安全保障能力</w:t>
            </w:r>
          </w:p>
        </w:tc>
        <w:tc>
          <w:tcPr>
            <w:tcW w:w="457" w:type="pct"/>
            <w:vAlign w:val="center"/>
          </w:tcPr>
          <w:p w14:paraId="2A6E424C">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3.00</w:t>
            </w:r>
          </w:p>
        </w:tc>
        <w:tc>
          <w:tcPr>
            <w:tcW w:w="515" w:type="pct"/>
            <w:vAlign w:val="center"/>
          </w:tcPr>
          <w:p w14:paraId="62F22277">
            <w:pPr>
              <w:pStyle w:val="18"/>
              <w:spacing w:line="360" w:lineRule="auto"/>
              <w:jc w:val="center"/>
              <w:rPr>
                <w:rFonts w:ascii="宋体" w:hAnsi="宋体" w:eastAsia="宋体"/>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是</w:t>
            </w:r>
          </w:p>
        </w:tc>
        <w:tc>
          <w:tcPr>
            <w:tcW w:w="3387" w:type="pct"/>
          </w:tcPr>
          <w:p w14:paraId="7E212CA8">
            <w:pPr>
              <w:pStyle w:val="18"/>
              <w:spacing w:line="360" w:lineRule="auto"/>
              <w:rPr>
                <w:rFonts w:ascii="宋体" w:hAnsi="宋体" w:eastAsia="宋体" w:cs="仿宋_GB2312"/>
                <w:color w:val="000000" w:themeColor="text1"/>
                <w:sz w:val="24"/>
                <w:szCs w:val="24"/>
                <w14:textFill>
                  <w14:solidFill>
                    <w14:schemeClr w14:val="tx1"/>
                  </w14:solidFill>
                </w14:textFill>
              </w:rPr>
            </w:pPr>
            <w:r>
              <w:rPr>
                <w:rFonts w:ascii="宋体" w:hAnsi="宋体" w:eastAsia="宋体" w:cs="仿宋_GB2312"/>
                <w:color w:val="000000" w:themeColor="text1"/>
                <w:sz w:val="24"/>
                <w:szCs w:val="24"/>
                <w14:textFill>
                  <w14:solidFill>
                    <w14:schemeClr w14:val="tx1"/>
                  </w14:solidFill>
                </w14:textFill>
              </w:rPr>
              <w:t>供应商具有游泳池运营管理相关经验且承诺在相应运营管理期间未发生重大安全责任事故的得3分。须在响应文件中同时提供以下证明材料：（1）游泳池运营管理经验证明材料，提供下列任一项：①高危险性体育项目经营许可证（游泳）；②所服务项目包含游泳池内容的合同复印件；（2）承诺上述自营或服务项目在运营管理期间未发生重大安全责任事故的承诺函，承诺函格式自拟。未提供或提供不全的不得分。</w:t>
            </w:r>
          </w:p>
        </w:tc>
      </w:tr>
    </w:tbl>
    <w:p w14:paraId="7C8B7025">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异常低价审查</w:t>
      </w:r>
    </w:p>
    <w:tbl>
      <w:tblPr>
        <w:tblStyle w:val="13"/>
        <w:tblW w:w="987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1979"/>
        <w:gridCol w:w="7899"/>
      </w:tblGrid>
      <w:tr w14:paraId="79E1076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blHeader/>
        </w:trPr>
        <w:tc>
          <w:tcPr>
            <w:tcW w:w="197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C5A2924">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项目</w:t>
            </w:r>
          </w:p>
        </w:tc>
        <w:tc>
          <w:tcPr>
            <w:tcW w:w="789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9E8FA8E">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描述</w:t>
            </w:r>
          </w:p>
        </w:tc>
      </w:tr>
      <w:tr w14:paraId="01BD7E8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197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8E6EBE4">
            <w:pPr>
              <w:spacing w:line="480" w:lineRule="atLeast"/>
              <w:jc w:val="lef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异常低价审查</w:t>
            </w:r>
          </w:p>
        </w:tc>
        <w:tc>
          <w:tcPr>
            <w:tcW w:w="789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DF45714">
            <w:pPr>
              <w:spacing w:line="480" w:lineRule="atLeast"/>
              <w:jc w:val="lef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根据《财政部关于推动解决政府采购异常低价问题的通知》（财库〔2026〕2号），结合本项目（采购包）实际情况，政府采购评审中出现下列情形之一的，评审委员会应当启动异常低价投标（响应）审查程序： （1）中共福州市委党校后勤服务委托管理项目  响应报价低于全部通过符合性审查供应商响应报价平均值65%的，即中共福州市委党校后勤服务委托管理项目  响应报价&lt;全部通过符合性审查供应商响应报价平均值×65%。 （2）中共福州市委党校后勤服务委托管理项目  响应报价低于通过符合性审查次低报价供应商响应报价65%的，即中共福州市委党校后勤服务委托管理项目  响应报价&lt;通过符合性审查次低报价供应商响应报价×65%。 （3）中共福州市委党校后勤服务委托管理项目  响应报价低于最高限价65%的，即中共福州市委党校后勤服务委托管理项目  响应报价&lt;最高限价×65%。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5DAB8F81">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9AD23E1">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2463B51">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B5E5E53">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14:paraId="6E55966D">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（4）成交候选供应商排列规则顺序和并列相同时的处理约定如下：</w:t>
      </w:r>
    </w:p>
    <w:p w14:paraId="6478D299">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a.成交候选供应商按照综合评审总得分（FA）由高到低顺序排列推荐。</w:t>
      </w:r>
    </w:p>
    <w:p w14:paraId="0A34334B">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b.综合评审总得分（FA）相同的，按照经评审最后磋商报价（即经政府采购优惠政策进行价格扣除后的最后报价）由低到高顺序推荐。</w:t>
      </w:r>
    </w:p>
    <w:p w14:paraId="0FA07374">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c.综合评审总得分（FA）且经评审最后磋商报价（即经政府采购优惠政策进行价格扣除后的最后报价）仍然相同的，按照技术指标优劣顺序推荐。</w:t>
      </w:r>
    </w:p>
    <w:p w14:paraId="1979ED41">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d.经前述顺序处理仍然并列相同的，则通过随机抽取方式确定优先顺序推荐。</w:t>
      </w:r>
    </w:p>
    <w:p w14:paraId="758F8E5B">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w:t>
      </w:r>
    </w:p>
    <w:p w14:paraId="1F553EA8">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四、评审报告</w:t>
      </w:r>
    </w:p>
    <w:p w14:paraId="245187C7">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4.1磋商小组完成评审后，应当编写评审报告并提交给采购人。</w:t>
      </w:r>
    </w:p>
    <w:p w14:paraId="66D2A17A">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4.2评审报告应当包括以下主要内容：</w:t>
      </w:r>
    </w:p>
    <w:p w14:paraId="3989AA66">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（一）邀请供应商参加采购活动的具体方式和相关情况；</w:t>
      </w:r>
    </w:p>
    <w:p w14:paraId="715AE62A">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（二）响应文件开启日期和地点；</w:t>
      </w:r>
    </w:p>
    <w:p w14:paraId="473CD4AA">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（三）获取磋商文件的供应商名单和磋商小组成员名单；</w:t>
      </w:r>
    </w:p>
    <w:p w14:paraId="03B75DE5">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（四）评审情况记录和说明，包括对供应商的资格审查情况、供应商响应文件评审情况、磋商情况、报价情况等；</w:t>
      </w:r>
    </w:p>
    <w:p w14:paraId="2C99CF64">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（五）提出的成交候选供应商的排序名单及理由。</w:t>
      </w:r>
    </w:p>
    <w:p w14:paraId="23B607D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956CAA0">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五、其他规定</w:t>
      </w:r>
    </w:p>
    <w:p w14:paraId="31A80C9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5.1其他规定</w:t>
      </w:r>
    </w:p>
    <w:p w14:paraId="16F85DCB">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5.1.1评审应全程保密且不得透露给任一供应商或与评审工作无关的人员。</w:t>
      </w:r>
    </w:p>
    <w:p w14:paraId="5132F329">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5.1.2评审将进行全程实时录音录像，录音录像资料随采购文件一并存档。</w:t>
      </w:r>
    </w:p>
    <w:p w14:paraId="2AA75180">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5.1.3若供应商有任何试图干扰具体评审事务，影响磋商小组独立履行职责的行为，其响应无效且不予退还磋商保证金或通过保函进行索赔。情节严重的，由财政部门列入不良行为记录。</w:t>
      </w:r>
    </w:p>
    <w:p w14:paraId="6FEE5AA9">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5.1.4根据采购项目的特点和需要，需要加以详细说明的其他磋商程序规定、要求等内容：</w:t>
      </w:r>
    </w:p>
    <w:p w14:paraId="26190A52">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w:t>
      </w:r>
    </w:p>
    <w:p w14:paraId="29ADA842">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第2节 竞争性磋商须知</w:t>
      </w:r>
    </w:p>
    <w:p w14:paraId="061CB5DC">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一、总则</w:t>
      </w:r>
    </w:p>
    <w:p w14:paraId="16797026">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1.适用范围：</w:t>
      </w:r>
    </w:p>
    <w:p w14:paraId="4BD01043">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1.1适用于磋商文件载明项目的采购活动（以下简称：“本次采购活动”）。</w:t>
      </w:r>
    </w:p>
    <w:p w14:paraId="080CA57F">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2.定义及要求：</w:t>
      </w:r>
    </w:p>
    <w:p w14:paraId="6835B3B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2.1“采购标的”指磋商文件载明的需要采购的货物、服务、工程。</w:t>
      </w:r>
    </w:p>
    <w:p w14:paraId="6F3CE86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2.2“采购人”指本次采购项目的买方、或业主方、或甲方，具体见磋商文件第一章；“采购代理机构”系指接受采购人委托，组织开展竞争性磋商采购活动的代理机构，具体见磋商文件第一章。</w:t>
      </w:r>
    </w:p>
    <w:p w14:paraId="0EAD48C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2.3“潜在供应商”按照磋商文件第一章规定进行获取文件，且有意向参加本项目响应磋商的供应商。</w:t>
      </w:r>
    </w:p>
    <w:p w14:paraId="28CD05E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2.4“供应商”指按照磋商文件第一章规定进行获取文件，且已经提交响应文件的法人或其他组织或自然人。只有适合自然人参与和承接的政府采购项目，供应商才可以是自然人。</w:t>
      </w:r>
    </w:p>
    <w:p w14:paraId="5C6951ED">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2.5“单位负责人”指单位法定代表人（供应商为法人的）或法律、法规规定代表单位行使职权的主要负责人（供应商为其他组织的）。</w:t>
      </w:r>
    </w:p>
    <w:p w14:paraId="4F78E277">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2.6“供应商代表”指供应商（为法人或其他组织的）的单位负责人或由其授权的委托代理人，即单位负责人授权书中载明的接受授权方。供应商为自然人的，由本人签字并附身份证明。</w:t>
      </w:r>
    </w:p>
    <w:p w14:paraId="6B94C240">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3.合格的供应商：</w:t>
      </w:r>
    </w:p>
    <w:p w14:paraId="44ECF4F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3.1一般规定</w:t>
      </w:r>
    </w:p>
    <w:p w14:paraId="517F1208">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12E39660">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00C8FB5">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3.1.2为采购项目提供整体设计、规范编制或项目管理、监理、检测等服务的供应商，不得再参加该采购项目除整体设计、规范编制和项目管理、监理、检测等服务之外的其他采购活动。</w:t>
      </w:r>
    </w:p>
    <w:p w14:paraId="3CF1DA63">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3.1.3列入失信被执行人、重大税收违法案件当事人名单、政府采购严重违法失信行为记录名单及其他不符合《中华人民共和国政府采购法》第二十二条规定条件的供应商，不得参加政府采购活动。</w:t>
      </w:r>
    </w:p>
    <w:p w14:paraId="2553D452">
      <w:pPr>
        <w:pStyle w:val="11"/>
        <w:shd w:val="clear" w:color="auto" w:fill="FFFFFF"/>
        <w:spacing w:beforeAutospacing="0" w:afterAutospacing="0" w:line="480" w:lineRule="atLeast"/>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供应商有责任检查自身情况，在响应文件中对是否违反以上一般规定做出如实声明，否则其响应文件将被否决。</w:t>
      </w:r>
    </w:p>
    <w:p w14:paraId="1C0504CA">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3.2特别规定</w:t>
      </w:r>
    </w:p>
    <w:p w14:paraId="0795794D">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3.2.1供应商的资格要求：详见竞争性磋商须知前附表第1项。</w:t>
      </w:r>
    </w:p>
    <w:p w14:paraId="0C5B3021">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3.2.2是否接受联合体形式的响应磋商：详见竞争性磋商须知前附表第2项。若接受联合体形式且供应商为联合体，则联合体各方除了应遵守本章第3.1条规定外，还应遵守下列规定：</w:t>
      </w:r>
    </w:p>
    <w:p w14:paraId="21521B76">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（1）联合体各方应提交联合体协议，联合体协议应符合磋商文件规定。</w:t>
      </w:r>
    </w:p>
    <w:p w14:paraId="65F43D8E">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（2）联合体各方不得再单独参加或与其他供应商另外组成联合体参加同一合同项下的响应磋商。</w:t>
      </w:r>
    </w:p>
    <w:p w14:paraId="65EA598F">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（3）联合体各方应共同与采购人签订政府采购合同，就政府采购合同约定的事项对采购人承担连带责任。</w:t>
      </w:r>
    </w:p>
    <w:p w14:paraId="6A7AAF25">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F9E035E">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（5）联合体一方放弃成交的，视为联合体整体放弃成交，联合体各方承担连带责任。</w:t>
      </w:r>
    </w:p>
    <w:p w14:paraId="6BF420AF">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（6）如本项目不接受联合体报价而供应商为联合体的，或者本项目接受联合体报价但供应商组成的联合体不符合本章第3.2条规定的，其报价无效。</w:t>
      </w:r>
    </w:p>
    <w:p w14:paraId="0F96DD60">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29B772D5">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4.参与竞争性磋商费用：</w:t>
      </w:r>
    </w:p>
    <w:p w14:paraId="7DBD2FBD">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4.1除法律法规或采购文件另有规定之外，供应商应自行承担其准备与参加竞争性磋商所涉及的一切费用。</w:t>
      </w:r>
    </w:p>
    <w:p w14:paraId="5DDD681C">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二、竞争性磋商文件</w:t>
      </w:r>
    </w:p>
    <w:p w14:paraId="11EFDD28">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5.竞争性磋商文件的组成：</w:t>
      </w:r>
    </w:p>
    <w:p w14:paraId="3A03F8FC">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5.1竞争性磋商文件由下述部分组成：</w:t>
      </w:r>
    </w:p>
    <w:p w14:paraId="4573B0E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第一章 采购公告（或采购邀请书）</w:t>
      </w:r>
    </w:p>
    <w:p w14:paraId="0255F06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第二章 竞争性磋商须知</w:t>
      </w:r>
    </w:p>
    <w:p w14:paraId="35F43D2A">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第三章 采购内容及要求</w:t>
      </w:r>
    </w:p>
    <w:p w14:paraId="75DB525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第四章 合同主要条款及格式</w:t>
      </w:r>
    </w:p>
    <w:p w14:paraId="79F3D66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第五章 首次响应文件格式</w:t>
      </w:r>
    </w:p>
    <w:p w14:paraId="1A745FB8">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5.2除上述内容以外，采购人、采购代理机构或者磋商小组在采购过程期间对磋商文件所作的澄清、修改或补充，均构成磋商文件的组成部分，对采购人和供应商具有约束力。</w:t>
      </w:r>
    </w:p>
    <w:p w14:paraId="7D88E1E4">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6.竞争性磋商文件的澄清、补充、修改及现场考察等：</w:t>
      </w:r>
    </w:p>
    <w:p w14:paraId="074EF60C">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7B41D48A">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2783BC7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6.3采购人、采购代理机构可以视采购项目的具体情况，组织供应商进行现场考察或召开磋商前答疑会，是否组织现场考察或召开磋商前答疑会详见竞争性磋商须知前附表第3项。</w:t>
      </w:r>
    </w:p>
    <w:p w14:paraId="03E16D9C">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三、响应文件编制</w:t>
      </w:r>
    </w:p>
    <w:p w14:paraId="7A36A760">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7.应标要求</w:t>
      </w:r>
    </w:p>
    <w:p w14:paraId="1DC00670">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6AC3B43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7.2供应商代表在同一个合同项下只能接受一个供应商的委托参加响应磋商，否则其响应文件将被否决。</w:t>
      </w:r>
    </w:p>
    <w:p w14:paraId="70E50D99">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7.3供应商应仔细阅读磋商文件的所有内容和要求，按磋商文件的规定提供响应文件，并对其所提供的全部资料、承诺和声明的真实性、合法性和准确性负责。</w:t>
      </w:r>
    </w:p>
    <w:p w14:paraId="1E47973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7.4除非竞争性磋商须知前附表另有规定外，供应商提供的响应文件应使用中文文本，若有不同文字文本，以中文文本为准。</w:t>
      </w:r>
    </w:p>
    <w:p w14:paraId="3B8059A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45FCBC4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7.6除非竞争性磋商须知前附表另有规定外，供应商承诺的报价应以人民币进行报价，合同实施结算时亦以人民币支付；所有计量均采用中华人民共和国法定计量单位。</w:t>
      </w:r>
    </w:p>
    <w:p w14:paraId="0BD0C53F">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8.首次响应文件的组成：</w:t>
      </w:r>
    </w:p>
    <w:p w14:paraId="632BAB3F">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8.1首次响应文件包括但不限于下列部分：</w:t>
      </w:r>
    </w:p>
    <w:p w14:paraId="1D5573E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（1）响应函</w:t>
      </w:r>
    </w:p>
    <w:p w14:paraId="724CC4A7">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（2）开标（报价）一览表（含投标（响应）报价明细表）</w:t>
      </w:r>
    </w:p>
    <w:p w14:paraId="0621230C">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（3）资格证明文件</w:t>
      </w:r>
    </w:p>
    <w:p w14:paraId="404A37E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（4）磋商保证金凭证</w:t>
      </w:r>
    </w:p>
    <w:p w14:paraId="7A4EBF9A">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（5）技术和商务偏离表</w:t>
      </w:r>
    </w:p>
    <w:p w14:paraId="3A19635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（6）相关技术、商务、服务响应承诺及资料</w:t>
      </w:r>
    </w:p>
    <w:p w14:paraId="7B05E0B1">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（7）供应商提交的其他资料</w:t>
      </w:r>
    </w:p>
    <w:p w14:paraId="2B89D47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（8）要求作为响应文件组成部分的其他内容（若有）</w:t>
      </w:r>
    </w:p>
    <w:p w14:paraId="61A7F3DA">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9.响应文件有效期：</w:t>
      </w:r>
    </w:p>
    <w:p w14:paraId="0342D541">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9.1响应文件有效期见竞争性磋商须知前附表第4项，响应文件承诺的有效期不得少于磋商文件载明的有效期，否则其响应文件将被否决。</w:t>
      </w:r>
    </w:p>
    <w:p w14:paraId="35FBD709">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1975457F">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10.磋商保证金：</w:t>
      </w:r>
    </w:p>
    <w:p w14:paraId="42F7DFB8">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10.1供应商应按竞争性磋商文件规定的金额、形式等要求提交磋商保证金。磋商文件若接受联合体形式且供应商为联合体的，则可以由联合体中的牵头方提交磋商保证金，其提交的磋商保证金对联合体各方均具有约束力。</w:t>
      </w:r>
    </w:p>
    <w:p w14:paraId="3A4E73B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6EBA9743">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10.1.2供应商以电子保函形式提交磋商保证金的，可在磋商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磋商保证金。保函的有效期应等于或长于电子响应文件承诺的有效期，否则其响应文件将被否决。</w:t>
      </w:r>
    </w:p>
    <w:p w14:paraId="0749C660">
      <w:pPr>
        <w:shd w:val="clear" w:color="auto" w:fill="FFFFFF"/>
        <w:spacing w:line="480" w:lineRule="atLeast"/>
        <w:ind w:firstLine="420"/>
        <w:jc w:val="lef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shd w:val="clear" w:color="auto" w:fill="FFFFFF"/>
          <w14:textFill>
            <w14:solidFill>
              <w14:schemeClr w14:val="tx1"/>
            </w14:solidFill>
          </w14:textFill>
        </w:rPr>
        <w:t>10.1.3其他形式： /</w:t>
      </w:r>
    </w:p>
    <w:p w14:paraId="344C0D0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10.2磋商保证金为响应文件的重要组成部分之一。磋商保证金用于保护本次磋商活动免受供应商的违约或失信行为而引起的风险。未按规定提交磋商保证金的，其响应文件将被否决。</w:t>
      </w:r>
    </w:p>
    <w:p w14:paraId="649D335D">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10.3磋商保证金退还：</w:t>
      </w:r>
    </w:p>
    <w:p w14:paraId="7DC864DA">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5项。</w:t>
      </w:r>
    </w:p>
    <w:p w14:paraId="0BD1F8E2">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10.3.2质疑或投诉涉及的供应商，若其磋商保证金尚未退还，则待质疑或投诉处理完毕后，且没有发生法律法规或者磋商文件规定的不予退还磋商保证金情形，则由采购人或采购代理机构给予及时退还。</w:t>
      </w:r>
    </w:p>
    <w:p w14:paraId="1145A8F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10.4如果供应商发生以下任何一种情况时，其磋商保证金将被不予退还或通过保函进行索赔：</w:t>
      </w:r>
    </w:p>
    <w:p w14:paraId="38706579">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(1)供应商在提交响应文件截止时间后撤回响应文件的；</w:t>
      </w:r>
    </w:p>
    <w:p w14:paraId="4AF1A6F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(2)供应商在响应文件中提供虚假材料的；</w:t>
      </w:r>
    </w:p>
    <w:p w14:paraId="339EA9DF">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(3)除因不可抗力或磋商文件认可的情形以外，成交人不与采购人签订合同的；</w:t>
      </w:r>
    </w:p>
    <w:p w14:paraId="68E7919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(4)供应商与采购人、其他供应商或者采购代理机构恶意串通的；</w:t>
      </w:r>
    </w:p>
    <w:p w14:paraId="16C88BC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(5)供应商在提交最后报价后要求退出磋商的；</w:t>
      </w:r>
    </w:p>
    <w:p w14:paraId="26A6D677">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(6)供应商假借以他人名义参加磋商或者以其他方式弄虚作假，骗取成交；</w:t>
      </w:r>
    </w:p>
    <w:p w14:paraId="697E5B29">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(7)国家法律法规以及磋商文件中规定的其他磋商保证金不予退还的情形。</w:t>
      </w:r>
    </w:p>
    <w:p w14:paraId="2F7C1C1F">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上述不予退还磋商保证金的情况不能抵偿给采购人或采购代理机构造成损失的，供应商还要承担赔偿责任。</w:t>
      </w:r>
    </w:p>
    <w:p w14:paraId="474F9E23">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11.响应文件基本编制要求：</w:t>
      </w:r>
    </w:p>
    <w:p w14:paraId="54728C7D">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11.1供应商须编制由本须知规定组成的响应文件正副本份数详见竞争性磋商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4984873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11.2响应文件应由供应商代表签字并加盖公章。供应商代表如果不是竞争性磋商须知中定义的“单位负责人”，则其响应文件中还必须提供“单位负责人授权书”。</w:t>
      </w:r>
    </w:p>
    <w:p w14:paraId="7C43B007">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11.3响应文件应尽量避免涂改、行间插字或删除。如果出现上述情况，改动之处应加盖供应商单位公章或由供应商代表签字确认。</w:t>
      </w:r>
    </w:p>
    <w:p w14:paraId="4BC4EA1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11.4供应商应提交证明其拟提供货物、服务或工程符合磋商文件要求的技术和商务响应文件，该文件可以是文字资料、图纸和数据，并对拟提供的货物、服务或工程的主要内容进行详细描述。</w:t>
      </w:r>
    </w:p>
    <w:p w14:paraId="5C553D69">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12.纸质响应文件的密封、标识、签署和提交（除磋商文件相应章节已有规定之外，电子竞争性磋商活动的具体操作流程以福建省政府采购网上公开信息系统设定的为准。）</w:t>
      </w:r>
    </w:p>
    <w:p w14:paraId="4D21C2C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233B34A0">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315EA529">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16F2D0D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7C43863F">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12.5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45822888">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四、竞争性磋商</w:t>
      </w:r>
    </w:p>
    <w:p w14:paraId="2D59B6CF">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13.评审和磋商基本准则</w:t>
      </w:r>
    </w:p>
    <w:p w14:paraId="65C6EF0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13.1对所有供应商的评审和磋商，都采用相同的程序和标准。</w:t>
      </w:r>
    </w:p>
    <w:p w14:paraId="1BCCB27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13.2磋商及评审过程将严格按照磋商文件的要求和条件进行，磋商小组将根据供应商的响应文件，按磋商文件规定的磋商程序及评审的标准和方法进行评审、磋商，并推荐成交候选人。</w:t>
      </w:r>
    </w:p>
    <w:p w14:paraId="16E8422D">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14.磋商程序以及评审标准和方法</w:t>
      </w:r>
    </w:p>
    <w:p w14:paraId="673F66E0">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14.1采购人将根据项目的特点依法组建磋商小组。磋商小组将根据磋商文件规定的程序、评审标准和方法等内容对供应商进行评审、磋商。</w:t>
      </w:r>
    </w:p>
    <w:p w14:paraId="065A97DD">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5C80AFC2">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14.2.1供应商有下列情况之一者，其提交的响应文件将被视为未实质性响应磋商文件要求，磋商小组将否决其响应文件，按无效处理：</w:t>
      </w:r>
    </w:p>
    <w:p w14:paraId="4FE38157">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采购包1：</w:t>
      </w:r>
    </w:p>
    <w:tbl>
      <w:tblPr>
        <w:tblStyle w:val="13"/>
        <w:tblW w:w="987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888"/>
        <w:gridCol w:w="2004"/>
        <w:gridCol w:w="6986"/>
      </w:tblGrid>
      <w:tr w14:paraId="3EDF8DC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c>
          <w:tcPr>
            <w:tcW w:w="88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5E5B49B">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序号</w:t>
            </w:r>
          </w:p>
        </w:tc>
        <w:tc>
          <w:tcPr>
            <w:tcW w:w="2004"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84E7B85">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符合审查要求概况</w:t>
            </w:r>
          </w:p>
        </w:tc>
        <w:tc>
          <w:tcPr>
            <w:tcW w:w="698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5E575A8">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评审点具体描述</w:t>
            </w:r>
          </w:p>
        </w:tc>
      </w:tr>
      <w:tr w14:paraId="437F6AF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14F5D78">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1</w:t>
            </w:r>
          </w:p>
        </w:tc>
        <w:tc>
          <w:tcPr>
            <w:tcW w:w="20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CC18B53">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情形1</w:t>
            </w:r>
          </w:p>
        </w:tc>
        <w:tc>
          <w:tcPr>
            <w:tcW w:w="69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80ADAFA">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响应文件中提供的资格证明文件不全的；</w:t>
            </w:r>
          </w:p>
        </w:tc>
      </w:tr>
      <w:tr w14:paraId="5C16211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A3807F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2</w:t>
            </w:r>
          </w:p>
        </w:tc>
        <w:tc>
          <w:tcPr>
            <w:tcW w:w="20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295331E">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情形2</w:t>
            </w:r>
          </w:p>
        </w:tc>
        <w:tc>
          <w:tcPr>
            <w:tcW w:w="69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0D6D0D3">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响应文件未按磋商文件规定由供应商代表签字，或未按磋商文件规定加盖供应商单位公章的；或供应商代表未获得有效授权的；</w:t>
            </w:r>
          </w:p>
        </w:tc>
      </w:tr>
      <w:tr w14:paraId="488FE09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7FF7106">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3</w:t>
            </w:r>
          </w:p>
        </w:tc>
        <w:tc>
          <w:tcPr>
            <w:tcW w:w="20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D9FE9F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情形3</w:t>
            </w:r>
          </w:p>
        </w:tc>
        <w:tc>
          <w:tcPr>
            <w:tcW w:w="69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ADE9891">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供应商未按磋商文件规定提交磋商保证金的；</w:t>
            </w:r>
          </w:p>
        </w:tc>
      </w:tr>
      <w:tr w14:paraId="5F31298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A8130A">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4</w:t>
            </w:r>
          </w:p>
        </w:tc>
        <w:tc>
          <w:tcPr>
            <w:tcW w:w="20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4EF4F16">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情形4</w:t>
            </w:r>
          </w:p>
        </w:tc>
        <w:tc>
          <w:tcPr>
            <w:tcW w:w="69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BB9BA69">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响应文件有效期不满足磋商文件要求的；</w:t>
            </w:r>
          </w:p>
        </w:tc>
      </w:tr>
      <w:tr w14:paraId="4743C1E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C141D8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5</w:t>
            </w:r>
          </w:p>
        </w:tc>
        <w:tc>
          <w:tcPr>
            <w:tcW w:w="20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BCAD70">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情形5</w:t>
            </w:r>
          </w:p>
        </w:tc>
        <w:tc>
          <w:tcPr>
            <w:tcW w:w="69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35677EF">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响应内容与磋商采购内容及要求有重大偏离或保留的，限制了采购人的权利或者减少成交人合同项下的义务；（由于磋商项目本身特点，不能详细列明采购标的的技术、服务要求的除外）；</w:t>
            </w:r>
          </w:p>
        </w:tc>
      </w:tr>
      <w:tr w14:paraId="40B8E97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D735A1F">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6</w:t>
            </w:r>
          </w:p>
        </w:tc>
        <w:tc>
          <w:tcPr>
            <w:tcW w:w="20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D551382">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情形6</w:t>
            </w:r>
          </w:p>
        </w:tc>
        <w:tc>
          <w:tcPr>
            <w:tcW w:w="69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3DA1733">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响应文件中附有采购人无法接受的条件的；</w:t>
            </w:r>
          </w:p>
        </w:tc>
      </w:tr>
      <w:tr w14:paraId="128776C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0E1C105">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7</w:t>
            </w:r>
          </w:p>
        </w:tc>
        <w:tc>
          <w:tcPr>
            <w:tcW w:w="20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FB68C2C">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情形7</w:t>
            </w:r>
          </w:p>
        </w:tc>
        <w:tc>
          <w:tcPr>
            <w:tcW w:w="69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92C4608">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不符合磋商文件中规定的其它实质性条款（比如：报价超过了磋商文件规定的最高限价）。</w:t>
            </w:r>
          </w:p>
        </w:tc>
      </w:tr>
    </w:tbl>
    <w:p w14:paraId="71E469E9">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14.2.2其他情形</w:t>
      </w:r>
    </w:p>
    <w:p w14:paraId="62C003A2">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采购包1：</w:t>
      </w:r>
    </w:p>
    <w:p w14:paraId="7B583E95">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技术符合性</w:t>
      </w:r>
    </w:p>
    <w:tbl>
      <w:tblPr>
        <w:tblStyle w:val="13"/>
        <w:tblW w:w="987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1976"/>
        <w:gridCol w:w="7902"/>
      </w:tblGrid>
      <w:tr w14:paraId="0CBE2C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197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365C714">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情形</w:t>
            </w:r>
          </w:p>
        </w:tc>
        <w:tc>
          <w:tcPr>
            <w:tcW w:w="7902"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29301EF">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明细</w:t>
            </w:r>
          </w:p>
        </w:tc>
      </w:tr>
      <w:tr w14:paraId="04E8D96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197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6BC3714">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其他情形</w:t>
            </w:r>
          </w:p>
        </w:tc>
        <w:tc>
          <w:tcPr>
            <w:tcW w:w="790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D99EB69">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磋商文件第三章 “二、技术要求”中带“★”的条款为实质性要求，若出现负偏离即视为技术部分未实质性响应磋商文件要求，按无效响应处理。</w:t>
            </w:r>
          </w:p>
        </w:tc>
      </w:tr>
    </w:tbl>
    <w:p w14:paraId="73E968CF">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商务符合性</w:t>
      </w:r>
    </w:p>
    <w:tbl>
      <w:tblPr>
        <w:tblStyle w:val="13"/>
        <w:tblW w:w="987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1976"/>
        <w:gridCol w:w="7902"/>
      </w:tblGrid>
      <w:tr w14:paraId="1362FC8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c>
          <w:tcPr>
            <w:tcW w:w="197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C66BAF8">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情形</w:t>
            </w:r>
          </w:p>
        </w:tc>
        <w:tc>
          <w:tcPr>
            <w:tcW w:w="7902"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C1F99FA">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明细</w:t>
            </w:r>
          </w:p>
        </w:tc>
      </w:tr>
      <w:tr w14:paraId="1EBE4DB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197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77E0E9F">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其他情形</w:t>
            </w:r>
          </w:p>
        </w:tc>
        <w:tc>
          <w:tcPr>
            <w:tcW w:w="790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A03CC38">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响应文件属于磋商文件规定磋商小组应否决其投标的情形。</w:t>
            </w:r>
          </w:p>
        </w:tc>
      </w:tr>
      <w:tr w14:paraId="0B9AB4D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197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5B96438">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其他情形</w:t>
            </w:r>
          </w:p>
        </w:tc>
        <w:tc>
          <w:tcPr>
            <w:tcW w:w="790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44664ED">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磋商文件第三章 “三、商务条件”中所有内容均为不允许负偏离项，若出现负偏离按无效响应处理。</w:t>
            </w:r>
          </w:p>
        </w:tc>
      </w:tr>
    </w:tbl>
    <w:p w14:paraId="491930D1">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价格符合性：无</w:t>
      </w:r>
    </w:p>
    <w:p w14:paraId="6672940C">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磋商小组决定供应商的响应性只根据响应文件本身的内容，而不寻求其他的外部证据。</w:t>
      </w:r>
    </w:p>
    <w:p w14:paraId="54A66D3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0FB7F308">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7项。</w:t>
      </w:r>
    </w:p>
    <w:p w14:paraId="1EF3218C">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705AAEB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14.6磋商文件能够详细列明采购标的的技术、服务要求的，磋商结束后，磋商小组应当要求所有实质性响应的合格供应商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61ED2E18">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630E2E8D">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321CBD47">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14.9磋商小组将采用综合评分法对提交最后报价的供应商的响应文件和最后报价进行综合评分，具体评审的标准和方法详见竞争性磋商须知前附表第8项。磋商小组根据综合评分情况，按照评审得分由高到低顺序推荐3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13960F68">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14.10供应商提交的响应文件和资料将给予保密，但不退回（有关证件或证照的原件除外）。</w:t>
      </w:r>
    </w:p>
    <w:p w14:paraId="7ED9CE9C">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五、合同授予</w:t>
      </w:r>
    </w:p>
    <w:p w14:paraId="04D841F8">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 </w:t>
      </w:r>
    </w:p>
    <w:p w14:paraId="77676DFA">
      <w:pPr>
        <w:pStyle w:val="11"/>
        <w:shd w:val="clear" w:color="auto" w:fill="FFFFFF"/>
        <w:spacing w:beforeAutospacing="0" w:afterAutospacing="0" w:line="480" w:lineRule="atLeast"/>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15.授予合同的准则：</w:t>
      </w:r>
    </w:p>
    <w:p w14:paraId="55F31A70">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15.1除不可抗力等因素外，合同将授予响应文件符合竞争性磋商文件要求，能够圆满地履行合同，且被磋商小组推荐为第一成交候选人的供应商。</w:t>
      </w:r>
    </w:p>
    <w:p w14:paraId="6A4A160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15.2 政府采购合同履行中，采购人需追加与合同标的相同的货物、工程或者服务的，在不改变合同其他条款的前提下，可以与成交人协商签订补充合同，但所有补充合同的采购金额不得超过原合同采购金额的百分之十。</w:t>
      </w:r>
    </w:p>
    <w:p w14:paraId="373BCE21">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15.3为维护国家利益和社会公共利益，最低报价不是被授予合同的绝对保证。</w:t>
      </w:r>
    </w:p>
    <w:p w14:paraId="0C5F9BB0">
      <w:pPr>
        <w:pStyle w:val="11"/>
        <w:shd w:val="clear" w:color="auto" w:fill="FFFFFF"/>
        <w:spacing w:beforeAutospacing="0" w:afterAutospacing="0" w:line="480" w:lineRule="atLeast"/>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16.确定成交供应商：</w:t>
      </w:r>
    </w:p>
    <w:p w14:paraId="4AE45E4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16.1采购人委托代理机构组织竞争性磋商采购活动的，采购代理机构在评审结束后2个工作日内将评审报告送采购人确认。</w:t>
      </w:r>
    </w:p>
    <w:p w14:paraId="3602354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0DC3541E">
      <w:pPr>
        <w:pStyle w:val="11"/>
        <w:shd w:val="clear" w:color="auto" w:fill="FFFFFF"/>
        <w:spacing w:beforeAutospacing="0" w:afterAutospacing="0" w:line="480" w:lineRule="atLeast"/>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17.成交通知:</w:t>
      </w:r>
    </w:p>
    <w:p w14:paraId="197EBC85">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17.1采购人或者采购代理机构在成交人确定后2个工作日内，在省级以上财政部门指定的媒体上公告成交结果，同时向成交人发出成交通知书。采用书面推荐供应商参加采购活动的，还将公告采购人和评审专家的推荐意见。</w:t>
      </w:r>
    </w:p>
    <w:p w14:paraId="2E1307F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17.2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2B248949">
      <w:pPr>
        <w:pStyle w:val="11"/>
        <w:shd w:val="clear" w:color="auto" w:fill="FFFFFF"/>
        <w:spacing w:beforeAutospacing="0" w:afterAutospacing="0" w:line="480" w:lineRule="atLeast"/>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18.签订合同：</w:t>
      </w:r>
    </w:p>
    <w:p w14:paraId="33B37C1A">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18.1采购人与成交人应当（详见须知前附表1中的18.1）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14:paraId="07ACCF5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18.2竞争性磋商文件、成交人的响应文件及其有关澄清承诺文件等，均为签订政府采购合同的依据和组成部分。</w:t>
      </w:r>
    </w:p>
    <w:p w14:paraId="0B9ABA3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49E66449">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六、询问、质疑与投诉</w:t>
      </w:r>
    </w:p>
    <w:p w14:paraId="26A226FA">
      <w:pPr>
        <w:pStyle w:val="11"/>
        <w:shd w:val="clear" w:color="auto" w:fill="FFFFFF"/>
        <w:spacing w:beforeAutospacing="0" w:afterAutospacing="0" w:line="480" w:lineRule="atLeast"/>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19.询问</w:t>
      </w:r>
    </w:p>
    <w:p w14:paraId="35BE1239">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19.1潜在供应商或供应商对本次采购活动的有关事项若有疑问，可向采购人或采购代理机构提出询问，采购人或采购代理机构将按照政府采购法及实施条例的有关规定进行答复。</w:t>
      </w:r>
    </w:p>
    <w:p w14:paraId="57CDE089">
      <w:pPr>
        <w:pStyle w:val="11"/>
        <w:shd w:val="clear" w:color="auto" w:fill="FFFFFF"/>
        <w:spacing w:beforeAutospacing="0" w:afterAutospacing="0" w:line="480" w:lineRule="atLeast"/>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20.质疑</w:t>
      </w:r>
    </w:p>
    <w:p w14:paraId="102BBAB8">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20.1质疑应在政府采购法及实施条例规定的时效内提出，并符合下列条件：</w:t>
      </w:r>
    </w:p>
    <w:p w14:paraId="78A6DB3D">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20.1.1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3435AE6B">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20.1.2质疑人应提交质疑函原件。</w:t>
      </w:r>
    </w:p>
    <w:p w14:paraId="0A711112">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20.1.3质疑函应包括下列主要内容：</w:t>
      </w:r>
    </w:p>
    <w:p w14:paraId="2EA89CFB">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159B20ED">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②所质疑项目的基本信息，至少包括：项目编号、项目名称等；</w:t>
      </w:r>
    </w:p>
    <w:p w14:paraId="7B4AF278">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③所质疑的具体事项（以下简称：“质疑事项”）；</w:t>
      </w:r>
    </w:p>
    <w:p w14:paraId="0544E5A6">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④质疑人自身权益受到损害的事实依据和证明材料，至少包括：</w:t>
      </w:r>
    </w:p>
    <w:p w14:paraId="3F2AD51D">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a1所质疑的具体事项事实存在的证明材料；</w:t>
      </w:r>
    </w:p>
    <w:p w14:paraId="693EA222">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a2所质疑的具体事项事实导致质疑人自身权益受到损害的证明材料，如：采购文件、采购过程或成交结果违法违规，损害自己合法权益等证明材料；</w:t>
      </w:r>
    </w:p>
    <w:p w14:paraId="22DEE212">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5B939FB5">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⑤针对质疑事项提出的明确请求和法律依据，</w:t>
      </w:r>
    </w:p>
    <w:p w14:paraId="4962D46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6F7BFBC3">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⑥提出质疑的日期以及质疑人代表联系方式，至少包括：姓名、手机、电子信箱、邮寄地址等。</w:t>
      </w:r>
    </w:p>
    <w:p w14:paraId="0276617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20.2对不符合前文第20.1条规定的质疑，采购人或采购代理机构将按照下列规定进行处理：</w:t>
      </w:r>
    </w:p>
    <w:p w14:paraId="12854B20">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20.2.1超过质疑时效提交的或者质疑人不是参与所质疑项目采购活动的供应商，书面告知质疑人其质疑不成立的原因和理由。</w:t>
      </w:r>
    </w:p>
    <w:p w14:paraId="1E9FD602">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74E1CADD">
      <w:pPr>
        <w:pStyle w:val="11"/>
        <w:shd w:val="clear" w:color="auto" w:fill="FFFFFF"/>
        <w:spacing w:beforeAutospacing="0" w:afterAutospacing="0" w:line="480" w:lineRule="atLeast"/>
        <w:ind w:firstLine="84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20.2.3质疑人修改、补充质疑函超过质疑时效提交的按20.2.1款处理。供应商提交质疑函时，要认真阅读本章第20条关于质疑的相关规定，以免内容或资料不齐，需要修改补充而延误时间。</w:t>
      </w:r>
    </w:p>
    <w:p w14:paraId="15306CB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20.3对符合前文第20.1条规定的质疑，采购人或采购代理机构将按照政府采购法及实施条例的有关规定进行答复。</w:t>
      </w:r>
    </w:p>
    <w:p w14:paraId="7DC72F4C">
      <w:pPr>
        <w:pStyle w:val="11"/>
        <w:shd w:val="clear" w:color="auto" w:fill="FFFFFF"/>
        <w:spacing w:beforeAutospacing="0" w:afterAutospacing="0" w:line="480" w:lineRule="atLeast"/>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21.投诉</w:t>
      </w:r>
    </w:p>
    <w:p w14:paraId="5D6E64C1">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21.1若对质疑答复不满意或质疑答复未在答复期限内作出，质疑人可在答复期限届满之日起15个工作日内向磋商文件中载明的监督管理部门投诉。</w:t>
      </w:r>
    </w:p>
    <w:p w14:paraId="6F1C1A8D">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21.2投诉应有明确的请求和必要的证明材料，投诉的事项不得超出已质疑事项的范围。</w:t>
      </w:r>
    </w:p>
    <w:p w14:paraId="24337648">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七、有关信息公告和监督部门</w:t>
      </w:r>
    </w:p>
    <w:p w14:paraId="654D60BA">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22.政府采购信息公告媒体</w:t>
      </w:r>
    </w:p>
    <w:p w14:paraId="64849EBA">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4ECA39A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22.2信息公告指定媒体：详见竞争性磋商须知前附表第10项。</w:t>
      </w:r>
    </w:p>
    <w:p w14:paraId="3F11E38D">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23.监督管理部门</w:t>
      </w:r>
    </w:p>
    <w:p w14:paraId="2C53810D">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23.1磋商采购活动的监督管理部门详见竞争性磋商须知前附表第11项。</w:t>
      </w:r>
    </w:p>
    <w:p w14:paraId="1A8A879F">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八、政府采购政策</w:t>
      </w:r>
    </w:p>
    <w:p w14:paraId="4F81A591">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24、政府采购政策由财政部根据国家的经济和社会发展政策并会同国家有关部委制定，包括但不限于下列管理办法或措施：</w:t>
      </w:r>
    </w:p>
    <w:p w14:paraId="3BB99E77">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24.1本国产品与非本国产品相关约定</w:t>
      </w:r>
    </w:p>
    <w:p w14:paraId="5B011F8F">
      <w:pPr>
        <w:shd w:val="clear" w:color="auto" w:fill="FFFFFF"/>
        <w:spacing w:line="480" w:lineRule="atLeast"/>
        <w:ind w:firstLine="420"/>
        <w:jc w:val="lef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shd w:val="clear" w:color="auto" w:fill="FFFFFF"/>
          <w14:textFill>
            <w14:solidFill>
              <w14:schemeClr w14:val="tx1"/>
            </w14:solidFill>
          </w14:textFill>
        </w:rPr>
        <w:t>24.1.1本国产品</w:t>
      </w:r>
    </w:p>
    <w:p w14:paraId="5524931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772C4AB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93A9156">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（3）对本国产品的支持政策 政府采购活动中既有本国产品又有非本国产品参与竞争的，依法对本国产品给予价格评审优惠，对本国产品的报价给予20%的价格扣除，用扣除后的价格参与评审。</w:t>
      </w:r>
    </w:p>
    <w:p w14:paraId="56E6880D">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4FE45A5">
      <w:pPr>
        <w:shd w:val="clear" w:color="auto" w:fill="FFFFFF"/>
        <w:spacing w:line="480" w:lineRule="atLeast"/>
        <w:ind w:firstLine="420"/>
        <w:jc w:val="lef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shd w:val="clear" w:color="auto" w:fill="FFFFFF"/>
          <w14:textFill>
            <w14:solidFill>
              <w14:schemeClr w14:val="tx1"/>
            </w14:solidFill>
          </w14:textFill>
        </w:rPr>
        <w:t>24.1.2 非本国产品</w:t>
      </w:r>
    </w:p>
    <w:p w14:paraId="09C2AC80">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24.1.2.1 进口产品：指通过中国海关报关验放进入中国境内且产自关境外的产品，其中：</w:t>
      </w:r>
    </w:p>
    <w:p w14:paraId="0C607103">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6ADC30A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（2）凡在海关特殊监管区域内企业生产或加工（包括从境外进口料件）销往境内其他地区的产品，不作为政府采购项下进口产品。</w:t>
      </w:r>
    </w:p>
    <w:p w14:paraId="1C42F865">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（3）对从境外进入海关特殊监管区域，再经办理报关手续后从海关特殊监管区进入境内其他地区的产品，认定为进口产品。</w:t>
      </w:r>
    </w:p>
    <w:p w14:paraId="503FF50F">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（4）磋商文件列明不允许或未列明允许进口产品参加报价的，均视为拒绝进口产品参加报价。</w:t>
      </w:r>
    </w:p>
    <w:p w14:paraId="40A92D65">
      <w:pPr>
        <w:shd w:val="clear" w:color="auto" w:fill="FFFFFF"/>
        <w:spacing w:line="480" w:lineRule="atLeast"/>
        <w:ind w:firstLine="420"/>
        <w:jc w:val="left"/>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shd w:val="clear" w:color="auto" w:fill="FFFFFF"/>
          <w14:textFill>
            <w14:solidFill>
              <w14:schemeClr w14:val="tx1"/>
            </w14:solidFill>
          </w14:textFill>
        </w:rPr>
        <w:t>24.1.2.2 其它非本国产品：指非进口产品且不符合本国产品标准的产品。</w:t>
      </w:r>
    </w:p>
    <w:p w14:paraId="353F599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5A5C4D18">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24.3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20672C1">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（1）中小企业指符合下列条件的中型、小型、微型企业：</w:t>
      </w:r>
    </w:p>
    <w:p w14:paraId="6C6D123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2F6048A8">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②符合中小企业划分标准的个体工商户，在政府采购活动中视同中小企业。</w:t>
      </w:r>
    </w:p>
    <w:p w14:paraId="1BD020F0">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（2）在政府采购活动中，供应商提供的货物、工程或者服务符合下列情形的，享受本办法规定的中小企业扶持政策：</w:t>
      </w:r>
    </w:p>
    <w:p w14:paraId="1A8C4AB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①在货物采购项目中，货物由中小企业制造，即货物由中小企业生产且使用该中小企业商号或者注册商标；</w:t>
      </w:r>
    </w:p>
    <w:p w14:paraId="131C0D4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②在工程采购项目中，工程由中小企业承建，即工程施工单位为中小企业；</w:t>
      </w:r>
    </w:p>
    <w:p w14:paraId="3637183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③在服务采购项目中，服务由中小企业承接，即提供服务的人员为中小企业依照《中华人民共和国劳动合同法》 订立劳动合同的从业人员。</w:t>
      </w:r>
    </w:p>
    <w:p w14:paraId="7AA9D11F">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在货物采购项目中，供应商提供的货物既有中小企业制造货物，也有大型企业制造货物的，不享受本办法规定的中小企业扶持政策。</w:t>
      </w:r>
    </w:p>
    <w:p w14:paraId="5FC880DB">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以联合体形式参加政府采购活动，联合体各方均为中小企业的，联合体视同中小企业。其中，联合体各方均为小微企业的，联合体视同小微企业。</w:t>
      </w:r>
    </w:p>
    <w:p w14:paraId="2A042F4C">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（3）供应商应当按照磋商文件明确的采购标的对应行业的划分标准出具中小企业声明函。</w:t>
      </w:r>
    </w:p>
    <w:p w14:paraId="7D973300">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2C8C7047">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22BC0F37">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①监狱企业参加采购活动时，应提供由省级以上监狱管理局、戒毒管理局（含新疆生产建设兵团）出具的属于监狱企业的证明文件。</w:t>
      </w:r>
    </w:p>
    <w:p w14:paraId="23A06608">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②监狱企业视同小型、微型企业。</w:t>
      </w:r>
    </w:p>
    <w:p w14:paraId="5B770B75">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（5）残疾人福利性单位指同时符合下列条件的单位：</w:t>
      </w:r>
    </w:p>
    <w:p w14:paraId="00FF7D72">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①安置的残疾人占本单位在职职工人数的比例不低于25%（含25%），并且安置的残疾人人数不少于10人（含10人）；</w:t>
      </w:r>
    </w:p>
    <w:p w14:paraId="647C2E2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②依法与安置的每位残疾人签订了一年以上（含一年）的劳动合同或服务协议；</w:t>
      </w:r>
    </w:p>
    <w:p w14:paraId="0B030FF9">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③为安置的每位残疾人按月足额缴纳了基本养老保险、基本医疗保险、失业保险、工伤保险和生育保险等社会保险费；</w:t>
      </w:r>
    </w:p>
    <w:p w14:paraId="0F8869D3">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④通过银行等金融机构向安置的每位残疾人，按月支付了不低于单位所在区县适用的经省级人民政府批准的月最低工资标准的工资；</w:t>
      </w:r>
    </w:p>
    <w:p w14:paraId="7F507720">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⑤提供本单位制造的货物、承担的工程或服务，或提供其他残疾人福利性单位制造的货物（不包括使用非残疾人福利性单位注册商标的货物）。</w:t>
      </w:r>
    </w:p>
    <w:p w14:paraId="4CF6FEA9">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3A9472EF">
      <w:pPr>
        <w:pStyle w:val="11"/>
        <w:shd w:val="clear" w:color="auto" w:fill="FFFFFF"/>
        <w:spacing w:beforeAutospacing="0" w:afterAutospacing="0" w:line="480" w:lineRule="atLeast"/>
        <w:ind w:firstLine="420"/>
        <w:rPr>
          <w:rFonts w:hint="eastAsia" w:asciiTheme="minorEastAsia" w:hAnsiTheme="minorEastAsia" w:cstheme="minorEastAsia"/>
          <w:b/>
          <w:bCs/>
          <w:color w:val="000000" w:themeColor="text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C0A16FC">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24.4信用记录指由财政部确定的有关网站提供的相关主体信用信息。信用记录的查询及使用应符合财政部文件（财库[2016]125号）规定。</w:t>
      </w:r>
    </w:p>
    <w:p w14:paraId="5A20AB6B">
      <w:pPr>
        <w:pStyle w:val="4"/>
        <w:shd w:val="clear" w:color="auto" w:fill="FFFFFF"/>
        <w:spacing w:beforeAutospacing="0" w:afterAutospacing="0" w:line="480" w:lineRule="atLeast"/>
        <w:jc w:val="center"/>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九、根据采购项目特点或政策需要补充的其他内容</w:t>
      </w:r>
    </w:p>
    <w:p w14:paraId="325D1B09">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25.履约保证金</w:t>
      </w:r>
    </w:p>
    <w:p w14:paraId="38E30914">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25.1采购人可以根据项目特点和需要，确定是否要求成交人在合同签订前，按照磋商文件规定的时间、形式、金额提交履约保证金，履约保证金的数额不超过中标合同金额的10%。</w:t>
      </w:r>
    </w:p>
    <w:p w14:paraId="78E011D0">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25.2磋商文件要求在合同签订前提交履约保证金，如果成交人无故拖延或者拒不提交履约保证金的，则视为成交人拒绝与采购人签订合同，该成交人将承担违法行为的法律责任。</w:t>
      </w:r>
    </w:p>
    <w:p w14:paraId="471858B1">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26.其他新增内容：</w:t>
      </w:r>
    </w:p>
    <w:p w14:paraId="0C0F4928">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26.1根据采购项目特点或政策需要补充的其他新增内容详见竞争性磋商须知前附表第12项。</w:t>
      </w:r>
    </w:p>
    <w:p w14:paraId="4176489E">
      <w:pPr>
        <w:pStyle w:val="11"/>
        <w:shd w:val="clear" w:color="auto" w:fill="FFFFFF"/>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71CC9B01">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 </w:t>
      </w:r>
    </w:p>
    <w:p w14:paraId="51636BC0">
      <w:pPr>
        <w:rPr>
          <w:rFonts w:hint="eastAsia" w:asciiTheme="minorEastAsia" w:hAnsiTheme="minorEastAsia" w:cstheme="minorEastAsia"/>
          <w:b/>
          <w:bCs/>
          <w:color w:val="000000" w:themeColor="text1"/>
          <w:sz w:val="39"/>
          <w:szCs w:val="39"/>
          <w:shd w:val="clear" w:color="auto" w:fill="FFFFFF"/>
          <w14:textFill>
            <w14:solidFill>
              <w14:schemeClr w14:val="tx1"/>
            </w14:solidFill>
          </w14:textFill>
        </w:rPr>
      </w:pPr>
      <w:r>
        <w:rPr>
          <w:rFonts w:hint="eastAsia" w:asciiTheme="minorEastAsia" w:hAnsiTheme="minorEastAsia" w:cstheme="minorEastAsia"/>
          <w:b/>
          <w:bCs/>
          <w:color w:val="000000" w:themeColor="text1"/>
          <w:sz w:val="39"/>
          <w:szCs w:val="39"/>
          <w:shd w:val="clear" w:color="auto" w:fill="FFFFFF"/>
          <w14:textFill>
            <w14:solidFill>
              <w14:schemeClr w14:val="tx1"/>
            </w14:solidFill>
          </w14:textFill>
        </w:rPr>
        <w:br w:type="page"/>
      </w:r>
    </w:p>
    <w:p w14:paraId="6E297E49">
      <w:pPr>
        <w:pStyle w:val="3"/>
        <w:shd w:val="clear" w:color="auto" w:fill="FFFFFF"/>
        <w:spacing w:beforeAutospacing="0" w:afterAutospacing="0" w:line="480" w:lineRule="atLeast"/>
        <w:jc w:val="center"/>
        <w:rPr>
          <w:rFonts w:asciiTheme="minorEastAsia" w:hAnsiTheme="minorEastAsia" w:eastAsiaTheme="minorEastAsia" w:cstheme="minorEastAsia"/>
          <w:color w:val="000000" w:themeColor="text1"/>
          <w:sz w:val="39"/>
          <w:szCs w:val="39"/>
          <w14:textFill>
            <w14:solidFill>
              <w14:schemeClr w14:val="tx1"/>
            </w14:solidFill>
          </w14:textFill>
        </w:rPr>
      </w:pPr>
      <w:r>
        <w:rPr>
          <w:rFonts w:asciiTheme="minorEastAsia" w:hAnsiTheme="minorEastAsia" w:eastAsiaTheme="minorEastAsia" w:cstheme="minorEastAsia"/>
          <w:color w:val="000000" w:themeColor="text1"/>
          <w:sz w:val="39"/>
          <w:szCs w:val="39"/>
          <w:shd w:val="clear" w:color="auto" w:fill="FFFFFF"/>
          <w14:textFill>
            <w14:solidFill>
              <w14:schemeClr w14:val="tx1"/>
            </w14:solidFill>
          </w14:textFill>
        </w:rPr>
        <w:t>第三章 采购内容及要求</w:t>
      </w:r>
    </w:p>
    <w:p w14:paraId="48DEB90B">
      <w:pPr>
        <w:pStyle w:val="4"/>
        <w:shd w:val="clear" w:color="auto" w:fill="FFFFFF"/>
        <w:spacing w:beforeAutospacing="0" w:afterAutospacing="0" w:line="360" w:lineRule="auto"/>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一、项目概况</w:t>
      </w:r>
    </w:p>
    <w:p w14:paraId="236DC506">
      <w:pPr>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1.项目基本情况</w:t>
      </w:r>
    </w:p>
    <w:p w14:paraId="452C2B7B">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中共福州市委党校后勤服务委托管理项目服务范围为采购人校区内后勤保障服务及相关管理运维事项。校区占地面积约175亩，建筑面积约10万平方米，现有建筑17幢，园林景观绿化面积约5.5万平方米，校内道路9条，停车位约510个，可同期在校上课约2000人、用餐约1200人，学员宿舍现有床位约750个。</w:t>
      </w:r>
    </w:p>
    <w:p w14:paraId="195E9F9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学员宿舍房间及床位数量以采购人实际移交和管理要求为准。服务期内，采购人在现有校区范围内因楼宇修缮、功能调整、床位增加、场所开放、设施提升、培训班次或会议活动变化等原因产生的后勤保障需求，属于本项目服务范围内的，供应商应按采购人要求统筹保障，不得以采购文件未逐项列明为由拒绝履行或降低服务标准。</w:t>
      </w:r>
    </w:p>
    <w:p w14:paraId="5E1CC31C">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校区主要功能空间包括学习研究馆、礼堂、综合办公楼、校史馆、图书馆、文体综合馆、教学楼、食堂、学员宿舍楼等；涉及教学培训、会议活动、展馆接待、住宿餐饮、文体活动、校园公共运行、安保消防、绿化景观、设施设备维护等综合后勤保障事项。校园基本情况详见附件一。</w:t>
      </w:r>
    </w:p>
    <w:p w14:paraId="1075FAEB">
      <w:pPr>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2.服务目标</w:t>
      </w:r>
    </w:p>
    <w:p w14:paraId="1927B28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应商应围绕采购人干部教育培训、会议活动、学员住宿、餐饮保障、校园运行和重大活动保障需要，提供规范、稳定、高效、安全的综合后勤服务。服务组织应体现综合统筹、酒店化服务、标准化管理、精细化考核和应急保障要求，保障教学培训、会议活动、学员生活和校园公共运行安全、有序、顺畅开展。</w:t>
      </w:r>
    </w:p>
    <w:p w14:paraId="22F7F45A">
      <w:pPr>
        <w:spacing w:line="360" w:lineRule="auto"/>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3.其他</w:t>
      </w:r>
    </w:p>
    <w:p w14:paraId="1D65F358">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附件为采购文件不可分割的组成部分，与本章正文共同构成本项目采购需求。供应商应将附件所列服务范围、设施设备清单、作业频率、服务标准、人员及工作要求、考核管理办法等内容一并纳入响应报价、服务方案编制和合同履约范围，并按采购文件、合同约定及采购人管理要求执行。附件未能穷尽列明的事项，按照采购人实际移交、现场管理要求、合同约定及采购人相关制度执行；同一事项存在不同要求的，原则上按较高标准或采购人最终确认要求执行。</w:t>
      </w:r>
    </w:p>
    <w:p w14:paraId="6B3537DB">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注：上述内容为本项目总体概况，供应商参加本次采购活动即视为已完整阅读并认可，无需就上述内容进行响应。</w:t>
      </w:r>
    </w:p>
    <w:p w14:paraId="73ACB1EF">
      <w:pPr>
        <w:pStyle w:val="4"/>
        <w:shd w:val="clear" w:color="auto" w:fill="FFFFFF"/>
        <w:spacing w:beforeAutospacing="0" w:afterAutospacing="0" w:line="360" w:lineRule="auto"/>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二、技术要求</w:t>
      </w:r>
    </w:p>
    <w:p w14:paraId="433314E3">
      <w:pPr>
        <w:pStyle w:val="11"/>
        <w:spacing w:beforeAutospacing="0" w:afterAutospacing="0" w:line="480" w:lineRule="exact"/>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★（一）采购范围、管理模式及服务期限</w:t>
      </w:r>
    </w:p>
    <w:p w14:paraId="19B51412">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1.采购范围</w:t>
      </w:r>
    </w:p>
    <w:p w14:paraId="52CFB494">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本项目采购范围为采购人校区内综合后勤保障服务委托管理，包括但不限于综合管理、教学会务保障、重大活动保障、展馆接待、学员住宿、餐饮服务、文体场馆及泳池管理、安保消防、环境卫生、垃圾清运、消杀虫害防治、绿化景观、莲花池及相关水景养护、房屋及设施设备维护、信息化设备维护及电教保障、教学用车、车辆及充电桩管理、固定资产及档案管理、节能管理、应急保障及交接管理等。</w:t>
      </w:r>
    </w:p>
    <w:p w14:paraId="054F7AE5">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具体服务区域、楼宇功能、设施设备、食堂设备、环境卫生标准、绿化及苗木、人员及工作要求、考核管理办法等详见采购需求附件。附件未能穷尽列明的，按照采购人实际移交、现场管理要求、合同约定及采购人相关制度执行。</w:t>
      </w:r>
    </w:p>
    <w:p w14:paraId="552A5099">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2.管理模式</w:t>
      </w:r>
    </w:p>
    <w:p w14:paraId="5362DA44">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本项目实行采购人监督管理、供应商具体服务运行的管理模式。采购人保留对服务内容、服务质量、人员到岗、考核评价、重大事项调度和费用支付的监督管理权；供应商负责项目服务运行，包括服务团队组建、人员招聘管理、劳动工资、社会保险、福利待遇、日常排班、服务实施、质量控制、台账管理和应急处置等。</w:t>
      </w:r>
    </w:p>
    <w:p w14:paraId="125C56FF">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涉及餐饮服务、保安服务、特种设备、消防、专业维保、专业维修、修缮工程等依法需要相应许可、备案或专业能力的事项，应由具备相应条件的主体实际承担。供应商可依法依规组织专业资源实施非主体、非关键性专业服务，但不得转包主体管理职责和核心服务组织职责，并应对项目整体服务质量承担总负责责任。</w:t>
      </w:r>
    </w:p>
    <w:p w14:paraId="7B822483">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必须委托专业单位维保、检测、维修的设施设备，供应商须委托具备相应资质、许可或专业能力的单位实施，产生的维保、检测、维修服务费用由供应商负责；维保、维修产生的材料费、配件费按照采购文件、合同及物资供应、费用边界约定执行。供应商应做好专业单位服务过程监管、资料归档、整改闭环和质量验收配合，并对项目整体服务质量承担总负责责任。</w:t>
      </w:r>
    </w:p>
    <w:p w14:paraId="4ABFB86A">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3.服务期限</w:t>
      </w:r>
    </w:p>
    <w:p w14:paraId="38129A0B">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本项目服务期限为三年，具体起止时间以合同约定为准。合同履行前，供应商应按采购人要求完成进驻交接、人员到岗、设施设备查验、档案资料接收、服务方案确认等工作；合同期满或合同终止时，应按采购人要求完成服务移交、资产移交、档案移交、人员撤场和未了事项处理，确保服务衔接平稳。</w:t>
      </w:r>
    </w:p>
    <w:p w14:paraId="3CAC622D">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4.服务费用构成、物资供应及费用边界</w:t>
      </w:r>
    </w:p>
    <w:p w14:paraId="3C3F2B72">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本项目年度服务费用测算约1500万元/年，其中人员经费1112.96万元，管理运维经费约387万元。供应商报价应综合考虑完成本项目全部服务所需的人工、管理、培训、服装、工具设备、低值耗材、维修维护、专业维保、税费、利润、风险等费用。</w:t>
      </w:r>
    </w:p>
    <w:p w14:paraId="5E7278BF">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本项目总价由固定包干服务费与预估工作量对应服务费用两部分共同组成。其中固定包干服务费考核合格后支付；预估工作量对应服务费用仅作为额度上限，不属于必然发生的费用，仅当供应商实际完成对应服务内容，且经采购人审核验收合格后方可计量计取；未实际实施的工作内容不予计量、不予计取费用。项目服务周期内，全部累计结算总金额不得超过本项目成交价。</w:t>
      </w:r>
    </w:p>
    <w:p w14:paraId="688F2A66">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管理运维经费可结合不同专项事项特点采取固定包干、按实际工作量据实核报、按采购人确认事项计量计取等方式管理。具体分项额度、计量口径、结算周期、审核流程及资料要求，可在合同、采购人管理制度或成交后经采购人确认的实施细则中进一步明确；未实际发生、未经采购人确认或验收不合格的事项，不得计入据实核报费用。供应商应充分考虑上述费用管理方式，自行承担因组织不力、测算不足、台账不完整或未按程序报审造成的不利后果。</w:t>
      </w:r>
    </w:p>
    <w:p w14:paraId="575A844A">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自行承担日常办公用品、设备耗材、员工劳保用品及服装、工衣洗涤等费用，已包含在报价中，采购人不另行支付。供应商工作人员发生工伤、死亡、治安、犯罪、交通、防火、劳资纠纷等事件的，不论本项目合同是否自然到期、提前终止、解除等均由供应商依法自行承担经济和法律责任；因供应商管理不善或人员行为造成采购人或第三方损失的，供应商应依法承担相应赔偿责任。</w:t>
      </w:r>
    </w:p>
    <w:p w14:paraId="4691E0AD">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属于本项目管理运维经费范围内的日常维修维护、零星修缮、小额耗材更换、设施设备巡检维保等事项，由供应商负责组织实施并承担相应费用；涉及房屋主体结构、大型专项维修、资产更新改造、超过本项目费用边界或依法应由采购人另行采购、审批的事项，由采购人另行按规定处理，供应商应做好日常巡查、报修、配合监督、验收和维修记录。采购人另有明确提供或另行采购的物资、食材、专项工程、大型资产更新等事项，按采购文件、合同及采购人相关管理规定执行；未明确由采购人另行承担的，原则上视为供应商完成本项目服务所需费用并纳入报价。</w:t>
      </w:r>
    </w:p>
    <w:p w14:paraId="656525DC">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综合后勤设施设备维修维护及耗材、零星工程修缮等涉及材料、配件、外聘专业人员、造价审核、结算审核等事项的，按照采购需求附件、合同及采购人管理程序执行。供应商应建立费用使用、服务实施、材料耗用、验收确认和台账归档机制，避免与采购人其他专项经费或另行采购事项重复列支。其中设施设备巡检维护、特种设备清单、电教保障专项要求等详见附件二；食堂设施设备及餐饮保障要求详见附件三。</w:t>
      </w:r>
    </w:p>
    <w:p w14:paraId="746A6107">
      <w:pPr>
        <w:pStyle w:val="11"/>
        <w:spacing w:beforeAutospacing="0" w:afterAutospacing="0" w:line="480" w:lineRule="exact"/>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（二）服务委托管理内容</w:t>
      </w:r>
    </w:p>
    <w:p w14:paraId="30195044">
      <w:pPr>
        <w:pStyle w:val="11"/>
        <w:spacing w:beforeAutospacing="0" w:afterAutospacing="0" w:line="480" w:lineRule="exact"/>
        <w:ind w:firstLine="482"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w:t>
      </w:r>
      <w:r>
        <w:rPr>
          <w:rFonts w:hint="eastAsia" w:asciiTheme="minorEastAsia" w:hAnsiTheme="minorEastAsia" w:cstheme="minorEastAsia"/>
          <w:color w:val="000000" w:themeColor="text1"/>
          <w:shd w:val="clear" w:color="auto" w:fill="FFFFFF"/>
          <w14:textFill>
            <w14:solidFill>
              <w14:schemeClr w14:val="tx1"/>
            </w14:solidFill>
          </w14:textFill>
        </w:rPr>
        <w:t>本项目各分项服务应服从采购人统一管理和调度。供应商应建立项目服务手册、岗位职责、作业流程、检查标准、台账记录、应急预案和考核整改机制，确保各模块之间职责清晰、衔接顺畅、响应及时。采购需求附件所列作业频率和服务标准为供应商报价、履约和考核的重要依据。供应商制定服务方案和报价时，应同步对照附件中要求的频率、清单、岗位和专项服务要求。</w:t>
      </w:r>
    </w:p>
    <w:p w14:paraId="56290AF5">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本项目各分项服务原则上按照准四星级及以上酒店管理要求、福建省及福州市相关法规、技术规范、供应商提供并经采购人认可的行业或企业标准以及采购人相关管理规定执行；上述标准不一致的，以较高标准或采购人确认的标准执行。</w:t>
      </w:r>
      <w:r>
        <w:rPr>
          <w:rFonts w:hint="eastAsia" w:asciiTheme="minorEastAsia" w:hAnsiTheme="minorEastAsia" w:cstheme="minorEastAsia"/>
          <w:b/>
          <w:bCs/>
          <w:color w:val="000000" w:themeColor="text1"/>
          <w:shd w:val="clear" w:color="auto" w:fill="FFFFFF"/>
          <w14:textFill>
            <w14:solidFill>
              <w14:schemeClr w14:val="tx1"/>
            </w14:solidFill>
          </w14:textFill>
        </w:rPr>
        <w:t>（评审项1）</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3324"/>
        <w:gridCol w:w="5505"/>
      </w:tblGrid>
      <w:tr w14:paraId="3DC4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7F963310">
            <w:pPr>
              <w:spacing w:after="0" w:line="240" w:lineRule="auto"/>
              <w:jc w:val="center"/>
              <w:rPr>
                <w:rFonts w:hint="eastAsia" w:ascii="宋体" w:hAnsi="宋体" w:eastAsia="宋体"/>
                <w:color w:val="000000" w:themeColor="text1"/>
                <w:szCs w:val="21"/>
                <w14:textFill>
                  <w14:solidFill>
                    <w14:schemeClr w14:val="tx1"/>
                  </w14:solidFill>
                </w14:textFill>
              </w:rPr>
            </w:pPr>
            <w:bookmarkStart w:id="0" w:name="_Hlk239173675"/>
            <w:r>
              <w:rPr>
                <w:rFonts w:ascii="宋体" w:hAnsi="宋体" w:eastAsia="宋体"/>
                <w:color w:val="000000" w:themeColor="text1"/>
                <w:szCs w:val="21"/>
                <w14:textFill>
                  <w14:solidFill>
                    <w14:schemeClr w14:val="tx1"/>
                  </w14:solidFill>
                </w14:textFill>
              </w:rPr>
              <w:t>服务模块</w:t>
            </w:r>
          </w:p>
        </w:tc>
        <w:tc>
          <w:tcPr>
            <w:tcW w:w="1726" w:type="pct"/>
            <w:vAlign w:val="center"/>
          </w:tcPr>
          <w:p w14:paraId="4031F9C1">
            <w:pPr>
              <w:spacing w:after="0" w:line="24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服务内容</w:t>
            </w:r>
          </w:p>
        </w:tc>
        <w:tc>
          <w:tcPr>
            <w:tcW w:w="2859" w:type="pct"/>
            <w:vAlign w:val="center"/>
          </w:tcPr>
          <w:p w14:paraId="58472E37">
            <w:pPr>
              <w:spacing w:after="0" w:line="24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服务要求及标准</w:t>
            </w:r>
          </w:p>
        </w:tc>
      </w:tr>
      <w:tr w14:paraId="5888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4191A90A">
            <w:pPr>
              <w:spacing w:after="0" w:line="240" w:lineRule="auto"/>
              <w:rPr>
                <w:rFonts w:hint="eastAsia" w:ascii="宋体" w:hAnsi="宋体" w:eastAsia="宋体"/>
                <w:color w:val="000000" w:themeColor="text1"/>
                <w:szCs w:val="21"/>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w:t>
            </w:r>
            <w:r>
              <w:rPr>
                <w:rFonts w:ascii="宋体" w:hAnsi="宋体" w:eastAsia="宋体"/>
                <w:color w:val="000000" w:themeColor="text1"/>
                <w:szCs w:val="21"/>
                <w14:textFill>
                  <w14:solidFill>
                    <w14:schemeClr w14:val="tx1"/>
                  </w14:solidFill>
                </w14:textFill>
              </w:rPr>
              <w:t>综合管理及临时交办事项响应服务</w:t>
            </w:r>
          </w:p>
        </w:tc>
        <w:tc>
          <w:tcPr>
            <w:tcW w:w="1726" w:type="pct"/>
          </w:tcPr>
          <w:p w14:paraId="0C0EBFE6">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设立项目管理机构和综合服务窗口；负责项目统筹调度、人员排班、服务受理、投诉处理、质量检查、档案管理、考勤管理、交接管理、满意度调查、工作报送和协调沟通；负责采购人临时交办事项响应和现场调度；协助采购人做好固定资产实物管理、资产清查盘点、资产台账维护、费用台账、财务审核和审计配合等工作。</w:t>
            </w:r>
          </w:p>
        </w:tc>
        <w:tc>
          <w:tcPr>
            <w:tcW w:w="2859" w:type="pct"/>
          </w:tcPr>
          <w:p w14:paraId="2CE4972C">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配备项目经理、</w:t>
            </w:r>
            <w:r>
              <w:rPr>
                <w:rFonts w:hint="eastAsia" w:ascii="宋体" w:hAnsi="宋体" w:eastAsia="宋体"/>
                <w:color w:val="000000" w:themeColor="text1"/>
                <w:szCs w:val="21"/>
                <w14:textFill>
                  <w14:solidFill>
                    <w14:schemeClr w14:val="tx1"/>
                  </w14:solidFill>
                </w14:textFill>
              </w:rPr>
              <w:t>各部门负责人及相应管理人员</w:t>
            </w:r>
            <w:r>
              <w:rPr>
                <w:rFonts w:ascii="宋体" w:hAnsi="宋体" w:eastAsia="宋体"/>
                <w:color w:val="000000" w:themeColor="text1"/>
                <w:szCs w:val="21"/>
                <w14:textFill>
                  <w14:solidFill>
                    <w14:schemeClr w14:val="tx1"/>
                  </w14:solidFill>
                </w14:textFill>
              </w:rPr>
              <w:t>；建立24小时服务电话和响应机制；投诉、报修、服务需求应及时登记、处理、反馈；重大事项及时报告采购人。供应商应建立内部资产管理和费用台账管理规范，协助采购人做好资产实物管理，每季度牵头供应商各内设部门开展资产清查盘点，做到账实、账标相符，并形成资产盘点报表报采购人监管部门备案。供应商应配备或指定熟悉项目费用结算、台账管理、财务审核和审计配合工作的专业财务人员或财务管理专岗，按采购人要求提供相关资料</w:t>
            </w:r>
            <w:r>
              <w:rPr>
                <w:rFonts w:hint="eastAsia" w:ascii="宋体" w:hAnsi="宋体" w:eastAsia="宋体"/>
                <w:color w:val="000000" w:themeColor="text1"/>
                <w:szCs w:val="21"/>
                <w14:textFill>
                  <w14:solidFill>
                    <w14:schemeClr w14:val="tx1"/>
                  </w14:solidFill>
                </w14:textFill>
              </w:rPr>
              <w:t>，并按采购人要求全力配合周期性财务审核、年度审计等工作。</w:t>
            </w:r>
            <w:r>
              <w:rPr>
                <w:rFonts w:ascii="宋体" w:hAnsi="宋体" w:eastAsia="宋体"/>
                <w:color w:val="000000" w:themeColor="text1"/>
                <w:szCs w:val="21"/>
                <w14:textFill>
                  <w14:solidFill>
                    <w14:schemeClr w14:val="tx1"/>
                  </w14:solidFill>
                </w14:textFill>
              </w:rPr>
              <w:t>采购人可向项目负责人、当日值班经理或指定对接人员布置临时任务，供应商应立即响应并统筹调配现有岗位人员及时完成，不得以岗位分工、部门职责或内部协调为由拒绝、拖延。</w:t>
            </w:r>
          </w:p>
        </w:tc>
      </w:tr>
      <w:tr w14:paraId="7023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7FAA6FD0">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教学会务保障服务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（评审项2）</w:t>
            </w:r>
          </w:p>
        </w:tc>
        <w:tc>
          <w:tcPr>
            <w:tcW w:w="1726" w:type="pct"/>
          </w:tcPr>
          <w:p w14:paraId="48907A7E">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负责采购人组织或承接的各类参观、</w:t>
            </w:r>
            <w:r>
              <w:rPr>
                <w:rFonts w:hint="eastAsia" w:ascii="宋体" w:hAnsi="宋体" w:eastAsia="宋体"/>
                <w:color w:val="000000" w:themeColor="text1"/>
                <w:szCs w:val="21"/>
                <w14:textFill>
                  <w14:solidFill>
                    <w14:schemeClr w14:val="tx1"/>
                  </w14:solidFill>
                </w14:textFill>
              </w:rPr>
              <w:t>教学、</w:t>
            </w:r>
            <w:r>
              <w:rPr>
                <w:rFonts w:ascii="宋体" w:hAnsi="宋体" w:eastAsia="宋体"/>
                <w:color w:val="000000" w:themeColor="text1"/>
                <w:szCs w:val="21"/>
                <w14:textFill>
                  <w14:solidFill>
                    <w14:schemeClr w14:val="tx1"/>
                  </w14:solidFill>
                </w14:textFill>
              </w:rPr>
              <w:t>培训、会议或其他公益性、群众性活动的现场保障、用车协调、音响灯光协助、会前检查、会中服务、会后恢复、物资搬运和现场保障。</w:t>
            </w:r>
            <w:r>
              <w:rPr>
                <w:rFonts w:hint="eastAsia" w:ascii="宋体" w:hAnsi="宋体" w:eastAsia="宋体"/>
                <w:color w:val="000000" w:themeColor="text1"/>
                <w:szCs w:val="21"/>
                <w14:textFill>
                  <w14:solidFill>
                    <w14:schemeClr w14:val="tx1"/>
                  </w14:solidFill>
                </w14:textFill>
              </w:rPr>
              <w:t>负责教学会务服务全过程（含会场布置）的劳务服务，包括协助花卉、条幅、迎宾牌等物品摆放、回收，以及配合相关搭设、拆除和现场恢复工作。</w:t>
            </w:r>
          </w:p>
          <w:p w14:paraId="69B81E65">
            <w:pPr>
              <w:spacing w:after="0" w:line="240" w:lineRule="auto"/>
              <w:rPr>
                <w:rFonts w:hint="eastAsia" w:ascii="宋体" w:hAnsi="宋体" w:eastAsia="宋体"/>
                <w:color w:val="000000" w:themeColor="text1"/>
                <w:szCs w:val="21"/>
                <w14:textFill>
                  <w14:solidFill>
                    <w14:schemeClr w14:val="tx1"/>
                  </w14:solidFill>
                </w14:textFill>
              </w:rPr>
            </w:pPr>
          </w:p>
        </w:tc>
        <w:tc>
          <w:tcPr>
            <w:tcW w:w="2859" w:type="pct"/>
          </w:tcPr>
          <w:p w14:paraId="5772F4BD">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会前按采购人通知做好场地、桌椅、设备、卫生、空调、茶水、标识、物资等准备；会中保持服务礼仪和保密纪律，按需续水、补充用品、协助处置异常；会后及时清场、复位、保洁、归还用品并做好记录。教学用车应服从采购人要求及时间安排。涉及电教设备保障的，按附件二相关专项要求执行。供应商须根据采购人要求制定或配合落实相关保障方案，指派与参观、培训、会议或活动规模相适应的安防、保洁、会务、电教等服务人员，确保活动正常、有序进行。</w:t>
            </w:r>
          </w:p>
        </w:tc>
      </w:tr>
      <w:tr w14:paraId="6A95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28955517">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重大会议及活动保障服务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（评审项3）</w:t>
            </w:r>
          </w:p>
        </w:tc>
        <w:tc>
          <w:tcPr>
            <w:tcW w:w="1726" w:type="pct"/>
          </w:tcPr>
          <w:p w14:paraId="03EE0988">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采购人重大会议、重要班次、重要接待、专题活动、临时性突发性保障任务的整体组织、场地布设、会展服务、会场物资准备、矿泉水保障、桌签/座签/背签、引导牌、横幅、宣传展示物料等制作或配合制作、物资搬运、现场协调、会后复位清场，以及礼堂舞台灯光、机械设备等相关设施设备的日常保养、维修协调和保障工作。大礼堂举办的会议、活动及教学授课原则上均按重要会议及活动保障要求组织；市委及采购人确定的重要活动即使不在大礼堂举办，也纳入重大会议及活动保障范围。</w:t>
            </w:r>
          </w:p>
        </w:tc>
        <w:tc>
          <w:tcPr>
            <w:tcW w:w="2859" w:type="pct"/>
          </w:tcPr>
          <w:p w14:paraId="5DF06665">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供应商应配置具备会议、会展或大型活动组织服务经验的专业团队，能够根据采购人要求制定专项保障方案和现场执行流程。重大会议及活动保障人员应统一着装、仪容仪表端庄、形象良好、服务经验较丰富，熟悉会务礼仪、接待流程和保密要求；活动所需矿泉水、会场基础物资、桌签/座签/背签、横幅、引导牌、宣传展示物料，以及会场桌面托盘、纸巾、湿巾、眼镜布、</w:t>
            </w:r>
            <w:r>
              <w:rPr>
                <w:rFonts w:hint="eastAsia" w:ascii="宋体" w:hAnsi="宋体" w:eastAsia="宋体"/>
                <w:color w:val="000000" w:themeColor="text1"/>
                <w:szCs w:val="21"/>
                <w14:textFill>
                  <w14:solidFill>
                    <w14:schemeClr w14:val="tx1"/>
                  </w14:solidFill>
                </w14:textFill>
              </w:rPr>
              <w:t>各类茶饮及</w:t>
            </w:r>
            <w:r>
              <w:rPr>
                <w:rFonts w:ascii="宋体" w:hAnsi="宋体" w:eastAsia="宋体"/>
                <w:color w:val="000000" w:themeColor="text1"/>
                <w:szCs w:val="21"/>
                <w14:textFill>
                  <w14:solidFill>
                    <w14:schemeClr w14:val="tx1"/>
                  </w14:solidFill>
                </w14:textFill>
              </w:rPr>
              <w:t>接待用品、奖状证书、礼仪服务人员等，由供应商按照采购人或活动举办方提出的合法、合理需求和经采购人确认的方案、费用边界负责保障。相关记录和费用台账应完整。礼堂舞台灯光、机械设备等保障事项应建立巡检、维保、维修、耗材及费用台账，避免与其他专项经费重复列支。</w:t>
            </w:r>
          </w:p>
        </w:tc>
      </w:tr>
      <w:tr w14:paraId="0B35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73740D0F">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展馆及接待服务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（评审项4）</w:t>
            </w:r>
          </w:p>
        </w:tc>
        <w:tc>
          <w:tcPr>
            <w:tcW w:w="1726" w:type="pct"/>
          </w:tcPr>
          <w:p w14:paraId="4625DEE0">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负责“3820”战略工程实施30周年成就展、福州市党风廉政警示教育馆、校史馆及后续设于校内相关专题展览的接待、引导、秩序维护、展陈区域保洁、设备巡查、展品安全和重要活动保障。</w:t>
            </w:r>
          </w:p>
        </w:tc>
        <w:tc>
          <w:tcPr>
            <w:tcW w:w="2859" w:type="pct"/>
          </w:tcPr>
          <w:p w14:paraId="35E41CE7">
            <w:pPr>
              <w:rPr>
                <w:rFonts w:hint="eastAsia" w:ascii="宋体" w:hAnsi="宋体" w:eastAsia="宋体"/>
                <w:color w:val="000000" w:themeColor="text1"/>
                <w:szCs w:val="21"/>
                <w:lang w:eastAsia="zh-CN"/>
                <w14:textFill>
                  <w14:solidFill>
                    <w14:schemeClr w14:val="tx1"/>
                  </w14:solidFill>
                </w14:textFill>
              </w:rPr>
            </w:pPr>
            <w:r>
              <w:rPr>
                <w:rFonts w:ascii="宋体" w:hAnsi="宋体" w:eastAsia="宋体"/>
                <w:color w:val="000000" w:themeColor="text1"/>
                <w:szCs w:val="21"/>
                <w14:textFill>
                  <w14:solidFill>
                    <w14:schemeClr w14:val="tx1"/>
                  </w14:solidFill>
                </w14:textFill>
              </w:rPr>
              <w:t>展馆开放前应检查卫生、灯光、展陈设备、消防及安全状况；接待人员应统一着装、礼貌规范、熟悉展馆基本情况；做好参观秩序引导、保密纪律、异常情况报修和台账记录。展馆展陈设备及展馆信息化设备的日常保障、巡检维护和报修协调纳入供应商服务范围</w:t>
            </w:r>
            <w:r>
              <w:rPr>
                <w:rFonts w:hint="eastAsia" w:ascii="宋体" w:hAnsi="宋体" w:eastAsia="宋体"/>
                <w:color w:val="000000" w:themeColor="text1"/>
                <w:szCs w:val="21"/>
                <w:lang w:eastAsia="zh-CN"/>
                <w14:textFill>
                  <w14:solidFill>
                    <w14:schemeClr w14:val="tx1"/>
                  </w14:solidFill>
                </w14:textFill>
              </w:rPr>
              <w:t>。</w:t>
            </w:r>
          </w:p>
        </w:tc>
      </w:tr>
      <w:tr w14:paraId="06D7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248D3301">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学员住宿及客房服务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（评审项5）</w:t>
            </w:r>
          </w:p>
        </w:tc>
        <w:tc>
          <w:tcPr>
            <w:tcW w:w="1726" w:type="pct"/>
          </w:tcPr>
          <w:p w14:paraId="57EA694E">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负责学员宿舍楼入住接待、退房查房、前台咨询、门卡管理、客房保洁、布草收发点收、日用品补给、失物招领、物资仓库管理、报修协调、楼栋公共区域保洁、安全巡查等。</w:t>
            </w:r>
          </w:p>
        </w:tc>
        <w:tc>
          <w:tcPr>
            <w:tcW w:w="2859" w:type="pct"/>
          </w:tcPr>
          <w:p w14:paraId="56D6BB2A">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参照</w:t>
            </w:r>
            <w:r>
              <w:rPr>
                <w:rFonts w:hint="eastAsia" w:ascii="宋体" w:hAnsi="宋体" w:eastAsia="宋体"/>
                <w:color w:val="000000" w:themeColor="text1"/>
                <w:szCs w:val="21"/>
                <w14:textFill>
                  <w14:solidFill>
                    <w14:schemeClr w14:val="tx1"/>
                  </w14:solidFill>
                </w14:textFill>
              </w:rPr>
              <w:t>四星级及以上</w:t>
            </w:r>
            <w:r>
              <w:rPr>
                <w:rFonts w:ascii="宋体" w:hAnsi="宋体" w:eastAsia="宋体"/>
                <w:color w:val="000000" w:themeColor="text1"/>
                <w:szCs w:val="21"/>
                <w14:textFill>
                  <w14:solidFill>
                    <w14:schemeClr w14:val="tx1"/>
                  </w14:solidFill>
                </w14:textFill>
              </w:rPr>
              <w:t>酒店服务</w:t>
            </w:r>
            <w:r>
              <w:rPr>
                <w:rFonts w:hint="eastAsia" w:ascii="宋体" w:hAnsi="宋体" w:eastAsia="宋体"/>
                <w:color w:val="000000" w:themeColor="text1"/>
                <w:szCs w:val="21"/>
                <w14:textFill>
                  <w14:solidFill>
                    <w14:schemeClr w14:val="tx1"/>
                  </w14:solidFill>
                </w14:textFill>
              </w:rPr>
              <w:t>标准管理</w:t>
            </w:r>
            <w:r>
              <w:rPr>
                <w:rFonts w:ascii="宋体" w:hAnsi="宋体" w:eastAsia="宋体"/>
                <w:color w:val="000000" w:themeColor="text1"/>
                <w:szCs w:val="21"/>
                <w14:textFill>
                  <w14:solidFill>
                    <w14:schemeClr w14:val="tx1"/>
                  </w14:solidFill>
                </w14:textFill>
              </w:rPr>
              <w:t>要求开展客房管理；学员楼服务台及重点楼栋按采购人要求值守；客房、公共区域、布草、门卡、报修、失物和仓库均应建立台账；服务人员不得泄露学员信息，不得擅自翻看、复制、传播学员资料或物品信息。客房及学员楼公共区域保洁频率详见附件四。</w:t>
            </w:r>
          </w:p>
        </w:tc>
      </w:tr>
      <w:tr w14:paraId="2D58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034D7EB7">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餐饮及食堂保障服务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（评审项6）</w:t>
            </w:r>
          </w:p>
        </w:tc>
        <w:tc>
          <w:tcPr>
            <w:tcW w:w="1726" w:type="pct"/>
          </w:tcPr>
          <w:p w14:paraId="4F02EFEC">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负责两栋食堂餐厅及厨房日常服务保障，包括自助餐、点餐、会议餐、包厢、宴会、清真餐</w:t>
            </w:r>
            <w:r>
              <w:rPr>
                <w:rFonts w:hint="eastAsia" w:ascii="宋体" w:hAnsi="宋体" w:eastAsia="宋体"/>
                <w:color w:val="000000" w:themeColor="text1"/>
                <w:szCs w:val="21"/>
                <w14:textFill>
                  <w14:solidFill>
                    <w14:schemeClr w14:val="tx1"/>
                  </w14:solidFill>
                </w14:textFill>
              </w:rPr>
              <w:t>，特殊情况提供夜宵服务、西餐接待</w:t>
            </w:r>
            <w:r>
              <w:rPr>
                <w:rFonts w:ascii="宋体" w:hAnsi="宋体" w:eastAsia="宋体"/>
                <w:color w:val="000000" w:themeColor="text1"/>
                <w:szCs w:val="21"/>
                <w14:textFill>
                  <w14:solidFill>
                    <w14:schemeClr w14:val="tx1"/>
                  </w14:solidFill>
                </w14:textFill>
              </w:rPr>
              <w:t>和应急供餐</w:t>
            </w:r>
            <w:r>
              <w:rPr>
                <w:rFonts w:hint="eastAsia" w:ascii="宋体" w:hAnsi="宋体" w:eastAsia="宋体"/>
                <w:color w:val="000000" w:themeColor="text1"/>
                <w:szCs w:val="21"/>
                <w14:textFill>
                  <w14:solidFill>
                    <w14:schemeClr w14:val="tx1"/>
                  </w14:solidFill>
                </w14:textFill>
              </w:rPr>
              <w:t>，根据采购人需要设立地方风味小吃档口。</w:t>
            </w:r>
          </w:p>
          <w:p w14:paraId="3EBB087A">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配备专业</w:t>
            </w:r>
            <w:r>
              <w:rPr>
                <w:rFonts w:hint="eastAsia" w:ascii="宋体" w:hAnsi="宋体" w:eastAsia="宋体"/>
                <w:color w:val="000000" w:themeColor="text1"/>
                <w:szCs w:val="21"/>
                <w14:textFill>
                  <w14:solidFill>
                    <w14:schemeClr w14:val="tx1"/>
                  </w14:solidFill>
                </w14:textFill>
              </w:rPr>
              <w:t>人员，做好</w:t>
            </w:r>
            <w:r>
              <w:rPr>
                <w:rFonts w:ascii="宋体" w:hAnsi="宋体" w:eastAsia="宋体"/>
                <w:color w:val="000000" w:themeColor="text1"/>
                <w:szCs w:val="21"/>
                <w14:textFill>
                  <w14:solidFill>
                    <w14:schemeClr w14:val="tx1"/>
                  </w14:solidFill>
                </w14:textFill>
              </w:rPr>
              <w:t>仓储管理、食堂卫生、餐厨具消毒、食品留样、菜单配合、成本控制。</w:t>
            </w:r>
          </w:p>
        </w:tc>
        <w:tc>
          <w:tcPr>
            <w:tcW w:w="2859" w:type="pct"/>
          </w:tcPr>
          <w:p w14:paraId="284115B3">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实际承担餐饮服务的主体应具备相应食品经营许可；食品安全、个人卫生、餐厨具消毒、留样、仓储、</w:t>
            </w:r>
            <w:r>
              <w:rPr>
                <w:rFonts w:hint="eastAsia" w:ascii="宋体" w:hAnsi="宋体" w:eastAsia="宋体"/>
                <w:color w:val="000000" w:themeColor="text1"/>
                <w:szCs w:val="21"/>
                <w14:textFill>
                  <w14:solidFill>
                    <w14:schemeClr w14:val="tx1"/>
                  </w14:solidFill>
                </w14:textFill>
              </w:rPr>
              <w:t>食材验收、</w:t>
            </w:r>
            <w:r>
              <w:rPr>
                <w:rFonts w:ascii="宋体" w:hAnsi="宋体" w:eastAsia="宋体"/>
                <w:color w:val="000000" w:themeColor="text1"/>
                <w:szCs w:val="21"/>
                <w14:textFill>
                  <w14:solidFill>
                    <w14:schemeClr w14:val="tx1"/>
                  </w14:solidFill>
                </w14:textFill>
              </w:rPr>
              <w:t>消防安全和应急供餐制度应落实到岗。食材由采购人另行组织采购配送，供应商应配合采购人做好食材到货验收、品种及数量核对、质量检查、交接登记等工作。供应商应免费提供重要接待的环境布置及桌艺造型服务，包括摆件、桌芯装饰品、花材等桌景摆设材料，设计方案须经采购人认可；具备应对临时性、突发性接待任务的服务组织能力和服务质量保障能力。食堂设施设备清单及餐饮保障要求详见附件三。</w:t>
            </w:r>
          </w:p>
        </w:tc>
      </w:tr>
      <w:tr w14:paraId="7036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3715B5A1">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文体场馆及泳池服务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（评审项7）</w:t>
            </w:r>
          </w:p>
        </w:tc>
        <w:tc>
          <w:tcPr>
            <w:tcW w:w="1726" w:type="pct"/>
          </w:tcPr>
          <w:p w14:paraId="56E5A7FF">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负责文体综合馆内泳池、篮球场、羽毛球场、练操房、乒乓球室、台球室、健身房等场所的开放管理、人员登记、场地保洁、设施巡查、秩序维护和安全保障。</w:t>
            </w:r>
          </w:p>
        </w:tc>
        <w:tc>
          <w:tcPr>
            <w:tcW w:w="2859" w:type="pct"/>
          </w:tcPr>
          <w:p w14:paraId="436AB88E">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泳池开放期间应按相关要求配备持证救生人员，做好巡查、救护和应急处置；文体场馆开放时间、使用管理和安全提示按采购人规定执行；发现设备、场地、安全隐患应及时报修并采取临时防护措施。</w:t>
            </w:r>
          </w:p>
        </w:tc>
      </w:tr>
      <w:tr w14:paraId="64BD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0656AFEE">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安保、消防及秩序维护服务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（评审项8）</w:t>
            </w:r>
          </w:p>
        </w:tc>
        <w:tc>
          <w:tcPr>
            <w:tcW w:w="1726" w:type="pct"/>
          </w:tcPr>
          <w:p w14:paraId="46A7FD3A">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负责门岗值守、访客登记、车辆引导、巡逻防范、快递报刊接收分发、监控值守、消防控制室值班、消防巡查、突发事件处置、重大活动安保、校园秩序维护和安全风险报告。</w:t>
            </w:r>
          </w:p>
        </w:tc>
        <w:tc>
          <w:tcPr>
            <w:tcW w:w="2859" w:type="pct"/>
          </w:tcPr>
          <w:p w14:paraId="35AA63A7">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门岗、巡逻、消防控制室等重点岗位应按采购人要求24小时值守；采购人现有3个消防控制室，应实行每日24小时专人值班，每班不少于2人，消防控制室人员应持有有效建（构）筑物消防员证或消防设施操作员证；保安人员应持有有效保安员证。供应商应组织守卫岗、巡逻岗、机动岗等安全保卫人员灵活机动做好校园治安管理，并根据教学、会议、住宿和重要活动安排落实24小时巡逻，配合属地政府、公安派出所等有关单位防范偷盗、抢劫、赌博、诈骗、非法集会、非法上访等违法违规行为。门岗应严格执行24小时值班制度，按规定做好教职工、学员、访客及车辆、物品出入管理和登记；教职工报刊、信件、快递等应按采购人要求及时接收、登记、分发到位。供应商应建立健全防火安全制度，定期开展消防演习和消防安全检查，对火警苗头和消防隐患做到原因未查明不放过、隐患未消除不放过、整改措施未落实不放过；各种消防设施应定期检查，发现故障及时排除，保持性能完好。安保巡逻人员每日应检查巡逻区域内灭火器材安放位置是否正确、箱体是否牢固、安全疏散通道是否畅通等情况；定期检查消防栓箱内水枪、水带、水带接口、供水阀门、排水阀门以及消防报警、探测器、应急灯等消防设施，发现问题及时报告值班经理并协调维修、更换；消防设施周边严禁堆放杂物，消防通道应随时保持畅通。</w:t>
            </w:r>
          </w:p>
        </w:tc>
      </w:tr>
      <w:tr w14:paraId="4BF7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5E63D18A">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环境卫生、垃圾清运及消杀服务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（评审项9）</w:t>
            </w:r>
          </w:p>
        </w:tc>
        <w:tc>
          <w:tcPr>
            <w:tcW w:w="1726" w:type="pct"/>
          </w:tcPr>
          <w:p w14:paraId="366A8B27">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采购人校区全部区域的环境卫生、保洁、垃圾分类收集、垃圾清运、化粪池及管道清理，以及校园大环境、食堂、学员楼、办公楼、教学楼、文体楼、展馆、车库、设备机房等所有区域室内外消杀虫害防治工作，包括但不限于鼠、蚊、蝇、蟑螂、白蚁防治和消杀，以及树木病虫害、红火蚁、臭虫、千足虫、马蜂窝、蛇患等突发性或专项性处置。供应商应统筹安排食堂、学员楼、教学楼、文体楼等不同区域责任分工，采购人不另行区分内部作业分配。</w:t>
            </w:r>
          </w:p>
        </w:tc>
        <w:tc>
          <w:tcPr>
            <w:tcW w:w="2859" w:type="pct"/>
          </w:tcPr>
          <w:p w14:paraId="30691FDA">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保洁应做到责任区域整洁、无明显垃圾、积水、污渍和异味；垃圾分类、收集、暂存和清运应及时规范并建立台账；消杀应使用符合要求的药剂，提前告示并采取安全防护措施；特殊污染、病虫害、蛇患、蜂巢等情况应及时处置并报告。具体作业频率详见附件四。</w:t>
            </w:r>
          </w:p>
        </w:tc>
      </w:tr>
      <w:tr w14:paraId="7CA0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771BC87B">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绿化景观、莲花池及相关水景养护服务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（评审项10）</w:t>
            </w:r>
          </w:p>
        </w:tc>
        <w:tc>
          <w:tcPr>
            <w:tcW w:w="1726" w:type="pct"/>
          </w:tcPr>
          <w:p w14:paraId="7FE70234">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负责采购人校区范围内绿化景观、室内外植物、莲花池及相关水景的养护管理。工作内容包括但不限于浇灌、施肥、整形修剪、松土除草、病虫害监测与防治、补植补种、枯枝落叶清理、草坪修剪、抗灾防台</w:t>
            </w:r>
            <w:r>
              <w:rPr>
                <w:rFonts w:hint="eastAsia" w:ascii="宋体" w:hAnsi="宋体" w:eastAsia="宋体"/>
                <w:color w:val="000000" w:themeColor="text1"/>
                <w:szCs w:val="21"/>
                <w14:textFill>
                  <w14:solidFill>
                    <w14:schemeClr w14:val="tx1"/>
                  </w14:solidFill>
                </w14:textFill>
              </w:rPr>
              <w:t>措施</w:t>
            </w:r>
            <w:r>
              <w:rPr>
                <w:rFonts w:ascii="宋体" w:hAnsi="宋体" w:eastAsia="宋体"/>
                <w:color w:val="000000" w:themeColor="text1"/>
                <w:szCs w:val="21"/>
                <w14:textFill>
                  <w14:solidFill>
                    <w14:schemeClr w14:val="tx1"/>
                  </w14:solidFill>
                </w14:textFill>
              </w:rPr>
              <w:t>、绿化移植、景观花更换、莲花池及相关水景保洁、水质维护、循环过滤及增氧设施观察、水景生物日常养护及饲料保障等。</w:t>
            </w:r>
          </w:p>
        </w:tc>
        <w:tc>
          <w:tcPr>
            <w:tcW w:w="2859" w:type="pct"/>
          </w:tcPr>
          <w:p w14:paraId="5C4C77E7">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绿化养护、莲花池及相关水景养护实行包工包料，相关肥料、药物、工具、材料、设备、水景生物饲料等费用纳入供应商报价。绿化成活率、景观效果和养护频次应满足采购人要求；台风暴雨前应做好树木修剪、加固和隐患排查，灾后及时清理倒伏树木和断枝；莲花池及相关水景水面保持整洁，水景生物养护、饲料采购、投喂和日常养护应规范记录。因供应商养护管理不到位造成植物、水景生物或相关景观对象非正常损耗、死亡或景观效果明显下降的，供应商应按采购人要求负责补植、补养或恢复景观效果；属于不可抗力、自然寿命、采购人另行调整等原因的，按采购人确认意见处理。具体苗木及养护要求详见附件五。</w:t>
            </w:r>
          </w:p>
        </w:tc>
      </w:tr>
      <w:tr w14:paraId="51A2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40ADD7D5">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设施设备及日常维修维护服务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（评审项11）</w:t>
            </w:r>
          </w:p>
        </w:tc>
        <w:tc>
          <w:tcPr>
            <w:tcW w:w="1726" w:type="pct"/>
          </w:tcPr>
          <w:p w14:paraId="683DDB6C">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负责房屋及附属设施巡查维护，基础水电、暖通设备、管网疏通、食堂设备、家电、门锁、感应器、空调清洗、下水道、卫生间、门窗家具、开水器、直饮水、照明、消防、安防、停车系统</w:t>
            </w:r>
            <w:r>
              <w:rPr>
                <w:rFonts w:hint="eastAsia" w:ascii="宋体" w:hAnsi="宋体" w:eastAsia="宋体"/>
                <w:color w:val="000000" w:themeColor="text1"/>
                <w:szCs w:val="21"/>
                <w14:textFill>
                  <w14:solidFill>
                    <w14:schemeClr w14:val="tx1"/>
                  </w14:solidFill>
                </w14:textFill>
              </w:rPr>
              <w:t>、充电桩</w:t>
            </w:r>
            <w:r>
              <w:rPr>
                <w:rFonts w:ascii="宋体" w:hAnsi="宋体" w:eastAsia="宋体"/>
                <w:color w:val="000000" w:themeColor="text1"/>
                <w:szCs w:val="21"/>
                <w14:textFill>
                  <w14:solidFill>
                    <w14:schemeClr w14:val="tx1"/>
                  </w14:solidFill>
                </w14:textFill>
              </w:rPr>
              <w:t>等日常维护和</w:t>
            </w:r>
            <w:r>
              <w:rPr>
                <w:rFonts w:hint="eastAsia" w:ascii="宋体" w:hAnsi="宋体" w:eastAsia="宋体"/>
                <w:color w:val="000000" w:themeColor="text1"/>
                <w:szCs w:val="21"/>
                <w14:textFill>
                  <w14:solidFill>
                    <w14:schemeClr w14:val="tx1"/>
                  </w14:solidFill>
                </w14:textFill>
              </w:rPr>
              <w:t>维修</w:t>
            </w:r>
            <w:r>
              <w:rPr>
                <w:rFonts w:ascii="宋体" w:hAnsi="宋体" w:eastAsia="宋体"/>
                <w:color w:val="000000" w:themeColor="text1"/>
                <w:szCs w:val="21"/>
                <w14:textFill>
                  <w14:solidFill>
                    <w14:schemeClr w14:val="tx1"/>
                  </w14:solidFill>
                </w14:textFill>
              </w:rPr>
              <w:t>处理。</w:t>
            </w:r>
          </w:p>
        </w:tc>
        <w:tc>
          <w:tcPr>
            <w:tcW w:w="2859" w:type="pct"/>
          </w:tcPr>
          <w:p w14:paraId="2D2077D7">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建立完善的设施设备使用、维护保养制度，做好维保记录，减少设备故障；实行24小时维修保障服务。建立巡检、报修、维修、耗材、备品备件和外包维保监管台账；日常报修应及时响应；属于本项目范围内的日常维修维护、零星修缮和小额耗材更换由供应商负责；专业维保、专业维修事项应由具备条件的单位实施；不得因维修维护不到位影响教学培训、住宿餐饮、会议活动和校园安全运行。供应商应结合采购人移交清单、设备运行状况、使用频率、故障风险和采购人提出的管理需求，梳理关键设施设备、常用设施设备的易损件、常用件备品备件清单，按需配置必要备品备件并动态更新，以便故障发生时能够及时更换和恢复运行。大型专项维修、资产更新改造或依法应由采购人另行实施的事项，由采购人另行按规定处理，供应商做好巡查、报修、配合监督和验收记录。主要设施设备及巡检维护频率详见附件二。 水泵每日巡查不少于1次；备用发电机与人防设备每月试机不少于1次；固定电话线路、会议音响、门禁楼宇控制、安防监控、通信网络系统等智能化设备每月检查不少于1次，并做到随坏随修；水池每半年清洗1次，并提供相关检测机构出具的水质检测报告。因供应商使用不当、操作错误造成设备损坏的，供应商应无条件负责修复或赔偿；给采购人造成重大损失的，采购人保留进一步追偿权利。供应商应妥善保存各项设备产品说明书、合格证、保修单等档案资料，分类做好设备日常巡查、保养、维修、检测等记录或报告，合同期满后完整移交采购人。</w:t>
            </w:r>
          </w:p>
        </w:tc>
      </w:tr>
      <w:tr w14:paraId="4F49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5AD90CCD">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零星工程</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（评审项12）</w:t>
            </w:r>
          </w:p>
        </w:tc>
        <w:tc>
          <w:tcPr>
            <w:tcW w:w="1726" w:type="pct"/>
          </w:tcPr>
          <w:p w14:paraId="53CCEED6">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房屋建筑物各类维修及零星工程，具体包含屋面墙面防水补漏、门窗更换修缮、楼地面与墙体抹灰修补、局部砌体及构件加固更换、水电卫设施故障维修、管网维护、危险构件临时加固、苗木种植等零星工程。</w:t>
            </w:r>
          </w:p>
        </w:tc>
        <w:tc>
          <w:tcPr>
            <w:tcW w:w="2859" w:type="pct"/>
          </w:tcPr>
          <w:p w14:paraId="77F363D3">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施工人员须持证规范作业，选用合格环保材料，严格按照建筑修缮行业标准施工；接到报修及时到场处置，完工经验收合格，维修部位落实质保，文明安全施工。</w:t>
            </w:r>
          </w:p>
        </w:tc>
      </w:tr>
      <w:tr w14:paraId="4998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56629495">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供水与高低压配电系统运维管理</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（评审项13）</w:t>
            </w:r>
          </w:p>
        </w:tc>
        <w:tc>
          <w:tcPr>
            <w:tcW w:w="1726" w:type="pct"/>
          </w:tcPr>
          <w:p w14:paraId="1EEAF198">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负责校园整体供电、供水系统日常运维、巡查值守、隐患排查、异常处置及日常台账管理工作，包括开闭所、配电房、双电源供电系统、高品质饮用水系统、水泵房、高位水塔等供配电、供水设施设备。</w:t>
            </w:r>
          </w:p>
        </w:tc>
        <w:tc>
          <w:tcPr>
            <w:tcW w:w="2859" w:type="pct"/>
          </w:tcPr>
          <w:p w14:paraId="3643296A">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lang w:eastAsia="zh-CN"/>
                <w14:textFill>
                  <w14:solidFill>
                    <w14:schemeClr w14:val="tx1"/>
                  </w14:solidFill>
                </w14:textFill>
              </w:rPr>
              <w:t>由专业单位实施维保</w:t>
            </w:r>
            <w:r>
              <w:rPr>
                <w:rFonts w:hint="eastAsia" w:ascii="宋体" w:hAnsi="宋体" w:eastAsia="宋体"/>
                <w:color w:val="000000" w:themeColor="text1"/>
                <w:szCs w:val="21"/>
                <w:lang w:eastAsia="zh-CN"/>
                <w14:textFill>
                  <w14:solidFill>
                    <w14:schemeClr w14:val="tx1"/>
                  </w14:solidFill>
                </w14:textFill>
              </w:rPr>
              <w:t>。</w:t>
            </w:r>
            <w:r>
              <w:rPr>
                <w:rFonts w:ascii="宋体" w:hAnsi="宋体" w:eastAsia="宋体"/>
                <w:color w:val="000000" w:themeColor="text1"/>
                <w:szCs w:val="21"/>
                <w14:textFill>
                  <w14:solidFill>
                    <w14:schemeClr w14:val="tx1"/>
                  </w14:solidFill>
                </w14:textFill>
              </w:rPr>
              <w:t>负责日常巡检、设备运行状态检查、线路工况核查、双电源切换功能测试，做好巡查记录，异常情况第一时间上报，并跟踪隐患整改闭环。严格遵守电力、供水行业运维规范，落实安全作业制度，确保设施设备常态化安全、可靠、平稳运行。配电房（开闭所）维保维护内容包括周期巡视及评估、设备带电检测、预防性试验及维保、故障应急响应及抢修、站房标准化管理等；具体维护内容、维护界面和操作界面详见附件二。</w:t>
            </w:r>
          </w:p>
        </w:tc>
      </w:tr>
      <w:tr w14:paraId="03D4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7CB8246D">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特种设备安全管理</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（评审项14）</w:t>
            </w:r>
          </w:p>
        </w:tc>
        <w:tc>
          <w:tcPr>
            <w:tcW w:w="1726" w:type="pct"/>
          </w:tcPr>
          <w:p w14:paraId="3F5A6D52">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负责电梯、电动观光车等特种设备的日常巡查、隐患排查、台账管理、维保及年检协调、应急处置、应急演练和资料归档等工作。</w:t>
            </w:r>
          </w:p>
        </w:tc>
        <w:tc>
          <w:tcPr>
            <w:tcW w:w="2859" w:type="pct"/>
          </w:tcPr>
          <w:p w14:paraId="0B20C938">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严格遵照国家、行业特种设备相关规范以及《特种设备使用单位落实使用安全主体责任监督管理规定》（市场监管总局令第74号）要求执行。配置具备相应资质和能力的特种设备安全管理专岗人员，落实日管控、周排查、月调度安全管理制度；特种设备维保、年度检验工作应委托具备法定资质的单位及从业人员实施，做好资料归集归档，及时上报设备安全隐患，配合开展特种设备应急处置。特种设备清单及巡检维护标准详见附件二。</w:t>
            </w:r>
          </w:p>
        </w:tc>
      </w:tr>
      <w:tr w14:paraId="4EBA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7D2001E9">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信息化设备维护及电教保障</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（评审项15）</w:t>
            </w:r>
          </w:p>
        </w:tc>
        <w:tc>
          <w:tcPr>
            <w:tcW w:w="1726" w:type="pct"/>
          </w:tcPr>
          <w:p w14:paraId="4FF654CF">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采购人移交管理的教学、会议、会场、电教相关系统设备，以及采购人移交管理的安防、门禁、道闸、考勤、消费、机房及弱电间等系统设备的日常巡检、现场保障、故障排查、协调维修、维护台账和现场应急保障。</w:t>
            </w:r>
          </w:p>
        </w:tc>
        <w:tc>
          <w:tcPr>
            <w:tcW w:w="2859" w:type="pct"/>
          </w:tcPr>
          <w:p w14:paraId="38206B22">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供应商应按附件二信息化设备维护及电教保障要求做好日常教学会务保障、重要活动保障、电教设备维护、技术培训、应急响应和内容安全保密。教学类设备维修维护及耗材费用按管理运维经费中“教学信息化设备维修维护及耗材”事项执行；展馆</w:t>
            </w:r>
            <w:r>
              <w:rPr>
                <w:rFonts w:hint="eastAsia" w:ascii="宋体" w:hAnsi="宋体" w:eastAsia="宋体"/>
                <w:color w:val="000000" w:themeColor="text1"/>
                <w:szCs w:val="21"/>
                <w:lang w:val="en-US" w:eastAsia="zh-CN"/>
                <w14:textFill>
                  <w14:solidFill>
                    <w14:schemeClr w14:val="tx1"/>
                  </w14:solidFill>
                </w14:textFill>
              </w:rPr>
              <w:t>展陈设备及展馆信息化</w:t>
            </w:r>
            <w:r>
              <w:rPr>
                <w:rFonts w:ascii="宋体" w:hAnsi="宋体" w:eastAsia="宋体"/>
                <w:color w:val="000000" w:themeColor="text1"/>
                <w:szCs w:val="21"/>
                <w14:textFill>
                  <w14:solidFill>
                    <w14:schemeClr w14:val="tx1"/>
                  </w14:solidFill>
                </w14:textFill>
              </w:rPr>
              <w:t>设备涉及耗材、配件更换或更新改造</w:t>
            </w:r>
            <w:r>
              <w:rPr>
                <w:rFonts w:hint="eastAsia" w:ascii="宋体" w:hAnsi="宋体" w:eastAsia="宋体"/>
                <w:color w:val="000000" w:themeColor="text1"/>
                <w:szCs w:val="21"/>
                <w14:textFill>
                  <w14:solidFill>
                    <w14:schemeClr w14:val="tx1"/>
                  </w14:solidFill>
                </w14:textFill>
              </w:rPr>
              <w:t>的费用</w:t>
            </w:r>
            <w:r>
              <w:rPr>
                <w:rFonts w:ascii="宋体" w:hAnsi="宋体" w:eastAsia="宋体"/>
                <w:color w:val="000000" w:themeColor="text1"/>
                <w:szCs w:val="21"/>
                <w14:textFill>
                  <w14:solidFill>
                    <w14:schemeClr w14:val="tx1"/>
                  </w14:solidFill>
                </w14:textFill>
              </w:rPr>
              <w:t>，由采购人展馆相关经费或另行资金按规定承担；办公信息化设备、办公电脑及其维修、耗材不纳入本项保障范围</w:t>
            </w:r>
            <w:r>
              <w:rPr>
                <w:rFonts w:hint="eastAsia" w:ascii="宋体" w:hAnsi="宋体" w:eastAsia="宋体"/>
                <w:color w:val="000000" w:themeColor="text1"/>
                <w:szCs w:val="21"/>
                <w:lang w:eastAsia="zh-CN"/>
                <w14:textFill>
                  <w14:solidFill>
                    <w14:schemeClr w14:val="tx1"/>
                  </w14:solidFill>
                </w14:textFill>
              </w:rPr>
              <w:t>，</w:t>
            </w:r>
            <w:r>
              <w:rPr>
                <w:rFonts w:ascii="宋体" w:hAnsi="宋体" w:eastAsia="宋体"/>
                <w:color w:val="000000" w:themeColor="text1"/>
                <w:szCs w:val="21"/>
                <w14:textFill>
                  <w14:solidFill>
                    <w14:schemeClr w14:val="tx1"/>
                  </w14:solidFill>
                </w14:textFill>
              </w:rPr>
              <w:t>采购人另有委托的除外。打印机耗材更换和维修按本项目“非印刷服务及打印机耗材更换维修”事项执行，不在教学信息化设备维修维护及耗材经费中重复列支。</w:t>
            </w:r>
          </w:p>
        </w:tc>
      </w:tr>
      <w:tr w14:paraId="0203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6C8B5DEA">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打印机耗材更换维修及非印刷服务</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（评审项16）</w:t>
            </w:r>
          </w:p>
        </w:tc>
        <w:tc>
          <w:tcPr>
            <w:tcW w:w="1726" w:type="pct"/>
          </w:tcPr>
          <w:p w14:paraId="399ED0B2">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负责打印机耗材更换及维修、非印刷服务相关保障，包括宣传栏、办班文件袋、资料包、笔记本等按采购人要求提供或配合。</w:t>
            </w:r>
          </w:p>
        </w:tc>
        <w:tc>
          <w:tcPr>
            <w:tcW w:w="2859" w:type="pct"/>
          </w:tcPr>
          <w:p w14:paraId="1CB90BB7">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打印机耗材更换维修及非印刷服务按采购人办班、会议和活动需求执行，建立耗材、维修及费用台账，避免与采购人其他专项经费重复列支。</w:t>
            </w:r>
            <w:r>
              <w:rPr>
                <w:rFonts w:hint="eastAsia" w:ascii="宋体" w:hAnsi="宋体" w:eastAsia="宋体"/>
                <w:color w:val="000000" w:themeColor="text1"/>
                <w:szCs w:val="21"/>
                <w14:textFill>
                  <w14:solidFill>
                    <w14:schemeClr w14:val="tx1"/>
                  </w14:solidFill>
                </w14:textFill>
              </w:rPr>
              <w:t>成交后</w:t>
            </w:r>
            <w:r>
              <w:rPr>
                <w:rFonts w:ascii="宋体" w:hAnsi="宋体" w:eastAsia="宋体"/>
                <w:color w:val="000000" w:themeColor="text1"/>
                <w:szCs w:val="21"/>
                <w14:textFill>
                  <w14:solidFill>
                    <w14:schemeClr w14:val="tx1"/>
                  </w14:solidFill>
                </w14:textFill>
              </w:rPr>
              <w:t>供应商</w:t>
            </w:r>
            <w:r>
              <w:rPr>
                <w:rFonts w:hint="eastAsia" w:ascii="宋体" w:hAnsi="宋体" w:eastAsia="宋体"/>
                <w:color w:val="000000" w:themeColor="text1"/>
                <w:szCs w:val="21"/>
                <w14:textFill>
                  <w14:solidFill>
                    <w14:schemeClr w14:val="tx1"/>
                  </w14:solidFill>
                </w14:textFill>
              </w:rPr>
              <w:t>须提供</w:t>
            </w:r>
            <w:r>
              <w:rPr>
                <w:rFonts w:ascii="宋体" w:hAnsi="宋体" w:eastAsia="宋体"/>
                <w:color w:val="000000" w:themeColor="text1"/>
                <w:szCs w:val="21"/>
                <w14:textFill>
                  <w14:solidFill>
                    <w14:schemeClr w14:val="tx1"/>
                  </w14:solidFill>
                </w14:textFill>
              </w:rPr>
              <w:t>常用打印机耗材、维修项目及非印刷服务项目的报价清单或单价表，作为后续验收、计量和结算参考；供应商自行实施或委托专业单位实施的，均应对质量、进度、售后及资料完整性承担总负责责任。未列入常用清单但采购人确需实施的事项，按采购人确认程序和合同约定执行。</w:t>
            </w:r>
          </w:p>
        </w:tc>
      </w:tr>
      <w:tr w14:paraId="37D7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5067E4E7">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资产、档案、节能及标识管理</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（评审项17）</w:t>
            </w:r>
          </w:p>
        </w:tc>
        <w:tc>
          <w:tcPr>
            <w:tcW w:w="1726" w:type="pct"/>
          </w:tcPr>
          <w:p w14:paraId="3CC556ED">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负责校内公共区域固定资产登记、使用巡查、搬运协助、资料档案管理、服务台账整理、节能降耗配合、能耗统计协助、标识标牌巡查和临时布设拆除。</w:t>
            </w:r>
          </w:p>
        </w:tc>
        <w:tc>
          <w:tcPr>
            <w:tcW w:w="2859" w:type="pct"/>
          </w:tcPr>
          <w:p w14:paraId="79A486E1">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资产、档案、标识和能耗记录应真实、完整、及时更新；服务期满应完整移交采购人；供应商不仅应保障热水、冷水、取电、采暖、空调等设备设施正常运行，还应有效控制能源消耗，完善节水、节电、节气、空调温控、设备启停、巡查统计等节能措施；节能管理、垃圾分类、节约型公共机构创建等工作应按采购人及主管部门要求配合完成。</w:t>
            </w:r>
          </w:p>
        </w:tc>
      </w:tr>
      <w:tr w14:paraId="5571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15" w:type="pct"/>
            <w:vAlign w:val="center"/>
          </w:tcPr>
          <w:p w14:paraId="5BF8F11C">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应急保障及交接管理</w:t>
            </w:r>
            <w:r>
              <w:rPr>
                <w:rFonts w:hint="eastAsia" w:ascii="宋体" w:hAnsi="宋体" w:eastAsia="宋体" w:cstheme="minorEastAsia"/>
                <w:b/>
                <w:bCs/>
                <w:color w:val="000000" w:themeColor="text1"/>
                <w:szCs w:val="21"/>
                <w:shd w:val="clear" w:color="auto" w:fill="FFFFFF"/>
                <w14:textFill>
                  <w14:solidFill>
                    <w14:schemeClr w14:val="tx1"/>
                  </w14:solidFill>
                </w14:textFill>
              </w:rPr>
              <w:t>（评审项18）</w:t>
            </w:r>
          </w:p>
        </w:tc>
        <w:tc>
          <w:tcPr>
            <w:tcW w:w="1726" w:type="pct"/>
          </w:tcPr>
          <w:p w14:paraId="78469E2E">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负责突发事件、台风暴雨、停水停电、设备故障、食品安全、消防安全、公共卫生、重大活动、临时检查等应急预案制定和处置配合；负责进退场交接。</w:t>
            </w:r>
          </w:p>
        </w:tc>
        <w:tc>
          <w:tcPr>
            <w:tcW w:w="2859" w:type="pct"/>
          </w:tcPr>
          <w:p w14:paraId="482F30D7">
            <w:pPr>
              <w:spacing w:after="0" w:line="24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应建立覆盖保洁、绿化、安保、消防、设备设施、会务、餐饮、住宿、信息化等模块的应急预案；重要活动前应开展风险排查和保障准备；合同履行前后应完成场地、设备、资料、台账、人员和未了事项交接。</w:t>
            </w:r>
          </w:p>
        </w:tc>
      </w:tr>
      <w:bookmarkEnd w:id="0"/>
    </w:tbl>
    <w:p w14:paraId="7C260E84">
      <w:pPr>
        <w:pStyle w:val="11"/>
        <w:spacing w:beforeAutospacing="0" w:afterAutospacing="0" w:line="480" w:lineRule="exact"/>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（三）管理运维专项事项及费用管理要求</w:t>
      </w:r>
    </w:p>
    <w:p w14:paraId="5B07E57F">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管理运维经费主要用于支撑项目日常运行、专业维保、设施设备维修维护、教学会议活动保障和校园公共运行。本节主要明确费用范围和管理要求，不替代前述各分项服务内容及服务要求。下列事项应纳入供应商服务统筹范围，具体实施方式、采购人确认程序、费用支出及台账要求按采购文件、合同和采购人管理规定执行。</w:t>
      </w:r>
      <w:r>
        <w:rPr>
          <w:rFonts w:hint="eastAsia" w:asciiTheme="minorEastAsia" w:hAnsiTheme="minorEastAsia" w:cstheme="minorEastAsia"/>
          <w:b/>
          <w:bCs/>
          <w:color w:val="000000" w:themeColor="text1"/>
          <w:shd w:val="clear" w:color="auto" w:fill="FFFFFF"/>
          <w14:textFill>
            <w14:solidFill>
              <w14:schemeClr w14:val="tx1"/>
            </w14:solidFill>
          </w14:textFill>
        </w:rPr>
        <w:t>（评审项19）</w:t>
      </w:r>
    </w:p>
    <w:p w14:paraId="58FC299A">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1.教学用车（评审项20）</w:t>
      </w:r>
    </w:p>
    <w:p w14:paraId="5CD4EB6F">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按采购人教学、培训、会议、活动、接待保障等需要提供用车保障或协调服务。供应商应服从采购人派车安排，建立用车记录、费用记录和安全管理台账。</w:t>
      </w:r>
    </w:p>
    <w:p w14:paraId="6F58F024">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2.洗涤（评审项21）</w:t>
      </w:r>
    </w:p>
    <w:p w14:paraId="420187B8">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负责布草、桌布、座椅背罩、窗帘等物品洗涤保障。布草及相关物品收发、点收、退洗、损耗处理应有记录，保障教学住宿及会议活动正常使用。使用的洗涤剂、消毒剂、各种有机溶剂等洗涤耗材应符合国家标准和安全要求；洗涤效果应达到清洁、无损、无明显褪色、无缩水等要求；特殊污渍应采用安全、有效方式单独处理后再行清洗。床单、被套、枕套、台布、口布等应按规范工序进行上浆处理，保持布草挺阔、平整；巾类棉织品应保证烘干程度及柔软程度；椅套、桌布等应清洁干净、熨烫平整，不得出现明显褶皱；白色布草应按规范洗涤流程进行漂洗处理。洗涤完成后应按采购人要求折叠、包装、交接。采购人发现送回布草存在污渍、褶皱或洗涤质量不符合要求的，供应商应免费重洗或重烫；因供应商原因造成布草遗失或损坏的，供应商应赔偿同等数量及质量的新品。供应商应严格按照采购人制定的交接时间执行，原则上洗涤周期不超过24小时，节假日照常运作；如遇停水、停电、台风等特殊情况，应提前通知采购人并协商调整工作安排。</w:t>
      </w:r>
    </w:p>
    <w:p w14:paraId="4FC07463">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3.综合后勤设施设备维修维护及耗材</w:t>
      </w:r>
    </w:p>
    <w:p w14:paraId="253DCBF0">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负责校园范围内地面以上、墙面以外的所有后勤设施设备、附属配套设施、电器设备及相关配套系统（含嵌入墙体、吊顶内部敷设安装的空调、新风等机电设备）的保养维护、故障排查、零星维修及耗材更换工作，包括但不限于基础水电、暖通设备、管网疏通、食堂设备、家电、门锁、感应器、空调清洗、下水道、卫生间、门窗玻璃、家具、开水器、直饮水、照明、消防、安防、停车系统、充电桩等。单项维修耗材费用</w:t>
      </w:r>
      <w:r>
        <w:rPr>
          <w:rFonts w:hint="eastAsia" w:asciiTheme="minorEastAsia" w:hAnsiTheme="minorEastAsia" w:cstheme="minorEastAsia"/>
          <w:color w:val="000000" w:themeColor="text1"/>
          <w:shd w:val="clear" w:color="auto" w:fill="FFFFFF"/>
          <w:lang w:val="en-US" w:eastAsia="zh-CN"/>
          <w14:textFill>
            <w14:solidFill>
              <w14:schemeClr w14:val="tx1"/>
            </w14:solidFill>
          </w14:textFill>
        </w:rPr>
        <w:t>1</w:t>
      </w:r>
      <w:r>
        <w:rPr>
          <w:rFonts w:hint="eastAsia" w:asciiTheme="minorEastAsia" w:hAnsiTheme="minorEastAsia" w:cstheme="minorEastAsia"/>
          <w:color w:val="000000" w:themeColor="text1"/>
          <w:shd w:val="clear" w:color="auto" w:fill="FFFFFF"/>
          <w14:textFill>
            <w14:solidFill>
              <w14:schemeClr w14:val="tx1"/>
            </w14:solidFill>
          </w14:textFill>
        </w:rPr>
        <w:t>000元（含）以下的，由供应商全权负责实施，确保问题及时处置到位。配件及耗材费用</w:t>
      </w:r>
      <w:r>
        <w:rPr>
          <w:rFonts w:hint="eastAsia" w:asciiTheme="minorEastAsia" w:hAnsiTheme="minorEastAsia" w:cstheme="minorEastAsia"/>
          <w:color w:val="000000" w:themeColor="text1"/>
          <w:shd w:val="clear" w:color="auto" w:fill="FFFFFF"/>
          <w:lang w:val="en-US" w:eastAsia="zh-CN"/>
          <w14:textFill>
            <w14:solidFill>
              <w14:schemeClr w14:val="tx1"/>
            </w14:solidFill>
          </w14:textFill>
        </w:rPr>
        <w:t>1</w:t>
      </w:r>
      <w:r>
        <w:rPr>
          <w:rFonts w:hint="eastAsia" w:asciiTheme="minorEastAsia" w:hAnsiTheme="minorEastAsia" w:cstheme="minorEastAsia"/>
          <w:color w:val="000000" w:themeColor="text1"/>
          <w:shd w:val="clear" w:color="auto" w:fill="FFFFFF"/>
          <w14:textFill>
            <w14:solidFill>
              <w14:schemeClr w14:val="tx1"/>
            </w14:solidFill>
          </w14:textFill>
        </w:rPr>
        <w:t>000元以上（不含）的项目，供应商须提前向采购人报送配件清单及费用预估，经采购人审核同意后方可组织实施。所有项目</w:t>
      </w:r>
      <w:r>
        <w:rPr>
          <w:rFonts w:asciiTheme="minorEastAsia" w:hAnsiTheme="minorEastAsia" w:cstheme="minorEastAsia"/>
          <w:color w:val="000000" w:themeColor="text1"/>
          <w:shd w:val="clear" w:color="auto" w:fill="FFFFFF"/>
          <w14:textFill>
            <w14:solidFill>
              <w14:schemeClr w14:val="tx1"/>
            </w14:solidFill>
          </w14:textFill>
        </w:rPr>
        <w:t>按照采购人规定的审批权限履行审批程序</w:t>
      </w:r>
      <w:r>
        <w:rPr>
          <w:rFonts w:hint="eastAsia" w:asciiTheme="minorEastAsia" w:hAnsiTheme="minorEastAsia" w:cstheme="minorEastAsia"/>
          <w:color w:val="000000" w:themeColor="text1"/>
          <w:shd w:val="clear" w:color="auto" w:fill="FFFFFF"/>
          <w14:textFill>
            <w14:solidFill>
              <w14:schemeClr w14:val="tx1"/>
            </w14:solidFill>
          </w14:textFill>
        </w:rPr>
        <w:t>，验收合格后据实计入预估工作量对应服务费。</w:t>
      </w:r>
      <w:r>
        <w:rPr>
          <w:rFonts w:hint="eastAsia" w:asciiTheme="minorEastAsia" w:hAnsiTheme="minorEastAsia" w:cstheme="minorEastAsia"/>
          <w:b/>
          <w:bCs/>
          <w:color w:val="000000" w:themeColor="text1"/>
          <w:shd w:val="clear" w:color="auto" w:fill="FFFFFF"/>
          <w14:textFill>
            <w14:solidFill>
              <w14:schemeClr w14:val="tx1"/>
            </w14:solidFill>
          </w14:textFill>
        </w:rPr>
        <w:t>（评审项22）</w:t>
      </w:r>
    </w:p>
    <w:p w14:paraId="0A8F811A">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涉及高空作业及其他特殊专业性较强、需外聘专业人员开展作业，所产生的外聘人工费用计入预估工作量对应服务费。设备维修严格执行专业标准，凡厂家规定需原厂维修、原厂配件的设备，必须按要求委托原厂维修。如供应商无法提供配件及耗材，或提供的配件及耗材无法满足采购人要求或价格因素不满足采购人要求的，采购人有权另行自行采购，因此产生的全部费用由供应商承担。所有维修作业须规范施工、保证质量、留存完整台账，完工后报请采购人验收。具体设施设备巡检维护频率详见附件二。</w:t>
      </w:r>
      <w:r>
        <w:rPr>
          <w:rFonts w:hint="eastAsia" w:asciiTheme="minorEastAsia" w:hAnsiTheme="minorEastAsia" w:cstheme="minorEastAsia"/>
          <w:b/>
          <w:bCs/>
          <w:color w:val="000000" w:themeColor="text1"/>
          <w:shd w:val="clear" w:color="auto" w:fill="FFFFFF"/>
          <w14:textFill>
            <w14:solidFill>
              <w14:schemeClr w14:val="tx1"/>
            </w14:solidFill>
          </w14:textFill>
        </w:rPr>
        <w:t>（评审项23）</w:t>
      </w:r>
    </w:p>
    <w:p w14:paraId="3E586955">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4.供水与高低压配电系统维修维保（评审项24）</w:t>
      </w:r>
    </w:p>
    <w:p w14:paraId="60CDC622">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负责校园整体供电、供水系统日常运维、巡查值守、隐患排查、异常处置及日常台账管理工作，服务范围包含校园1座开闭所、4座配电房、双电源供电系统、高品质饮用水系统、3座水泵房及1座高位水塔等全部供配电、供水设施设备。供应商需按规范开展日常巡检、设备运行状态检查、线路工况核查、双电源切换功能测试，完整做好每日、每期巡查记录，及时记录设备运行参数及工况变化；对巡查发现的设备异常、隐患缺陷、运行不稳等问题第一时间上报采购人，并跟踪隐患整改闭环。严格遵守电力、供水行业运维规范，落实安全作业制度，建立完整运维台账、巡检档案、异常记录及报告资料，确保设施设备常态化安全、可靠、平稳运行。配电房（开闭所）维保维护内容包括周期巡视及评估、设备带电检测、预防性试验及维保、故障应急响应及抢修、站房标准化管理等。供应商应按采购人要求每月开展配电站房巡检，每季度出具运行情况分析报告；按月开展高压开关设备局放检测、配变及低压开关柜电气连接点红外测温；每年按采购人指定时间开展高压配电柜、电缆、避雷器等电气预防性试验和继保整定校验，并出具符合电力管理部门规定和认可的试验报告；建立7×24×365故障响应机制，抢修人员应在约定时间内到达现场开展故障排查。具体配电房（开闭所）维护内容及界面、生活泵房、供水管道及净水机房维护保养内容及界面详见附件二。</w:t>
      </w:r>
    </w:p>
    <w:p w14:paraId="5136E18A">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5.教学信息化设备维修维护及耗材（评审项25）</w:t>
      </w:r>
    </w:p>
    <w:p w14:paraId="41774725">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信息化及电教保障团队负责采购人移交管理的教学、会议、会场、电教相关系统设备，以及采购人移交管理的安防、门禁、道闸、考勤、消费、机房及弱电间等系统设备的日常巡检、故障排查、维修保养、现场保障和台账管理；同时承担展馆类信息化设备日常巡检、故障排查和保障服务。教学类设备维修维护及耗材费用从本项管理运维经费中列支；展馆类设备日常保障由供应商团队承担，涉及耗材、配件更换、专项维修或更新改造的费用，由采购人展馆相关经费或另行资金按规定承担；办公信息化设备、办公电脑及其维修、耗材不纳入本项目服务范围，采购人另有委托的除外。教学信息化设备维修维护及耗材中，单项维修耗材费用2000元（含）以下的，确保问题及时处置到位；配件及耗材费用2000元以上的项目，供应商须提前向采购人报送配件清单及费用预估，经采购人审核同意后方可组织实施。所有项目</w:t>
      </w:r>
      <w:r>
        <w:rPr>
          <w:rFonts w:asciiTheme="minorEastAsia" w:hAnsiTheme="minorEastAsia" w:cstheme="minorEastAsia"/>
          <w:color w:val="000000" w:themeColor="text1"/>
          <w:shd w:val="clear" w:color="auto" w:fill="FFFFFF"/>
          <w14:textFill>
            <w14:solidFill>
              <w14:schemeClr w14:val="tx1"/>
            </w14:solidFill>
          </w14:textFill>
        </w:rPr>
        <w:t>按照采购人规定的审批权限履行审批程序</w:t>
      </w:r>
      <w:r>
        <w:rPr>
          <w:rFonts w:hint="eastAsia" w:asciiTheme="minorEastAsia" w:hAnsiTheme="minorEastAsia" w:cstheme="minorEastAsia"/>
          <w:color w:val="000000" w:themeColor="text1"/>
          <w:shd w:val="clear" w:color="auto" w:fill="FFFFFF"/>
          <w14:textFill>
            <w14:solidFill>
              <w14:schemeClr w14:val="tx1"/>
            </w14:solidFill>
          </w14:textFill>
        </w:rPr>
        <w:t>，验收合格后据实计入预估工作量对应服务费。如供应商无法提供配件及耗材，或提供的配件及耗材无法满足采购人要求或价格因素不满足采购人要求的，采购人有权另行自行采购，因此产生的全部费用由供应商承担。具体维护项目、作业要求详见附件二。</w:t>
      </w:r>
    </w:p>
    <w:p w14:paraId="1B268836">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6.零星工程（评审项26）</w:t>
      </w:r>
    </w:p>
    <w:p w14:paraId="30443258">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服务范围为除前述综合后勤设施设备维修维护之外的土建类维修及零星工程项目，包含但不限于：屋面墙面防水补漏、门窗更换修缮、楼地面与墙体抹灰修补、局部砌体及构件加固更换、水电卫设施故障维修、管网维护、危险构件临时加固、苗木种植等。单个零星工程项目造价不超过10万元。</w:t>
      </w:r>
    </w:p>
    <w:p w14:paraId="434C32AF">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施工作业须严格执行国家及地方建筑修缮、防水、给排水、园林绿化相关工程规范标准，施工前做好现场防护，落实安全文明施工措施，做好垃圾清运；施工材料质量符合现行国标，重要材料进场须报采购人核验；以《建筑工程施工质量验收统一标准》（GB50300-2013）及国家法律法规规定的有关工程建设施工质量验收规范为标准，完工后提交完整施工资料，经采购人组织验收合格后方可办结，按《建设工程质量管理条例》及有关规定承担相应质保责任。</w:t>
      </w:r>
    </w:p>
    <w:p w14:paraId="5D413FCF">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涉及屋面修缮、墙体拆改、构件加固等存在安全风险的作业，作业人员须具备相应作业能力，高空作业人员须持证上岗；如供应商无实施能力，应委托具备对应施工资质的第三方实施，并将第三方资料报采购人备案，供应商承担全部管理责任。</w:t>
      </w:r>
    </w:p>
    <w:p w14:paraId="2B39D90B">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预算在5万元（不含）以下的工程，根据工程的内容由供应商负责编制预算，预算套用工程定额以及同期信息价。预算在 5 万元（含）以上的工程，委托设计单位进行设计，由供应商编制预算，由采购人送第三方造价咨询单位预算审核。项目预算经采购人审核同意后方可组织实施。工程项目每半年汇总后由采购人送第三方造价咨询单位结算审核，根据审核结果计入预估工作量对应服务费。</w:t>
      </w:r>
    </w:p>
    <w:p w14:paraId="6548439A">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7.绿化移植、景观花更换、肥料及工具采购（评审项27）</w:t>
      </w:r>
    </w:p>
    <w:p w14:paraId="20564529">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负责采购人校区范围内绿化移植、景观花更换、肥料、药剂、工具、相关养护材料、莲花池及相关水景养护材料等采购、使用和管理。供应商应结合季节、植物生长状况、校园景观效果、重大会议活动保障和采购人临时要求开展绿化养护及景观提升，相关物资采购、使用、消耗、补植补养、验收和费用台账应真实完整。具体苗木清单、绿化养护、莲花池及相关水景养护要求详见附件五。</w:t>
      </w:r>
    </w:p>
    <w:p w14:paraId="28A8040C">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8.消杀虫害防治（评审项28）</w:t>
      </w:r>
    </w:p>
    <w:p w14:paraId="50B00525">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常规消杀包括采购人校区全部区域、校园大环境以及食堂、学员楼、办公楼、教学楼、文体楼、展馆、车库、设备机房等室内外场所的各类消杀虫害防治，按固定频次、季节特点、重要时间节点、重要防护时期采购人及主管部门部署要求实施，包括但不限于鼠、蚊、蝇、蟑螂、白蚁的防治和消杀，并形成计划、告示、作业、复查和台账资料；专项消杀用于树木病虫害、红火蚁、臭虫、千足虫、蛇患、马蜂窝等突发性或专项性防治事项，按采购人确认的实际实施内容、验收结果和费用资料进行管理。消杀前应提前告示，安全实施，做好药剂、作业、复查和费用台账。具体消杀作业频率和服务标准详见附件四；涉及绿化病虫害防治的，按附件五执行。</w:t>
      </w:r>
    </w:p>
    <w:p w14:paraId="0BC22C8B">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9.特种设备维保及年检（评审项29）</w:t>
      </w:r>
    </w:p>
    <w:p w14:paraId="33338AA4">
      <w:pPr>
        <w:pStyle w:val="11"/>
        <w:spacing w:beforeAutospacing="0" w:afterAutospacing="0" w:line="480" w:lineRule="exact"/>
        <w:ind w:firstLine="480" w:firstLineChars="200"/>
        <w:jc w:val="both"/>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人现有46台电梯、5台电动观光车全部纳入特种设备安全管理范围。供应商负责特种设备的日常巡查、隐患排查、台账管理、维保及年检协调、应急处置、应急演练等相关工作，严格遵照国家、行业特种设备相关规范以及《特种设备使用单位落实使用安全主体责任监督管理规定》（市场监管总局令第74号）要求执行。供应商须配置具备相应资质和能力的特种设备安全管理专岗人员，严格落实日管控、周排查、月调度安全管理制度；特种设备维保、年度检验工作，须委托具备法定资质的单位及从业人员实施，做好维保、年检资料归集归档，及时上报设备安全隐患，配合开展特种设备应急处置。特种设备清单详见附件二。</w:t>
      </w:r>
    </w:p>
    <w:p w14:paraId="5B5A8D9E">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10.大型会议及活动场地布设、保障（评审项30）</w:t>
      </w:r>
    </w:p>
    <w:p w14:paraId="3BF7D0A6">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大礼堂举办的会议、活动及教学授课原则上均纳入重要会议及活动保障范围；市委及采购人确定的重要活动即使安排在其他楼栋、场馆或区域举办，也纳入重要会议及活动保障范围。本项还包括礼堂舞台灯光、机械设备等相关设施设备日常保养、维修协调和保障。供应商应根据采购人重大会议、重要班次、重要接待及临时保障任务需要，配置具备会议、会展或大型活动组织服务经验的专业团队，负责专项保障方案、现场组织、场地布设、会场物资准备、矿泉水保障、桌签/座签/背签</w:t>
      </w:r>
      <w:bookmarkStart w:id="2" w:name="_GoBack"/>
      <w:bookmarkEnd w:id="2"/>
      <w:r>
        <w:rPr>
          <w:rFonts w:hint="eastAsia" w:asciiTheme="minorEastAsia" w:hAnsiTheme="minorEastAsia" w:cstheme="minorEastAsia"/>
          <w:color w:val="000000" w:themeColor="text1"/>
          <w:shd w:val="clear" w:color="auto" w:fill="FFFFFF"/>
          <w14:textFill>
            <w14:solidFill>
              <w14:schemeClr w14:val="tx1"/>
            </w14:solidFill>
          </w14:textFill>
        </w:rPr>
        <w:t>、引导牌、横幅、宣传展示物料等制作或配合制作、现场服务、会后复位清场等工作。现场服务人员应统一着装、仪容仪表端庄、形象良好、具备相应接待服务经验，相关费用和物资使用按采购人确认程序及费用边界执行。礼堂舞台灯光、机械设备等保障事项应建立巡检、维保、维修、耗材及费用台账；未实际实施或未经采购人确认的，不予计量计取。</w:t>
      </w:r>
    </w:p>
    <w:p w14:paraId="2D0C3983">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11.非印刷服务及打印机耗材更换维修（评审项31）</w:t>
      </w:r>
    </w:p>
    <w:p w14:paraId="49071BD3">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负责提供校园非印刷服务及打印机耗材更换维修服务。打印机耗材更换维修项目：供应商提供的打印机耗材及设备维修、更换服务应在三个工作日内完成（市场已停止生产的耗材除外），提供的耗材质量应符合国家相关标准，并提供7天的免费质保期。在质保期内，如耗材出现质量问题，供应商应在接到采购人通知后4小时内响应，并在3个工作日内完成更换或维修。供应商需根据实际情况出具打印机耗材更换及维修清单，经采购人验收核对之后，两个月结算一次费用。非印刷服务：供应商应按照采购人提供的设计要求及国家相关行业标准进行制作，确保采购人所需非印刷品的质量、尺寸、颜色等符合规定，供货时间以采购人的要求为准，送达指定位置并搬运妥善。制作内容、印制质量或设计质量不符合要求的，由供应商免费负责重新制作。供应商提供的非印刷品，由采购人验收合格后，单次结算费用。</w:t>
      </w:r>
    </w:p>
    <w:p w14:paraId="30C34133">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12.垃圾清运（评审项32）</w:t>
      </w:r>
    </w:p>
    <w:p w14:paraId="4DA9094F">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负责校区生活垃圾、日常保洁垃圾、绿化修剪垃圾、食堂外围垃圾及采购人交办的相关垃圾分类收集、暂存、转运和清运协调工作。垃圾清运应做到分类规范、日产日清、桶点整洁、无明显异味、无垃圾满溢和长期堆积；重大会议、重要班次、节假日、台风暴雨等特殊时期应按采购人要求增加清运和巡查频次。建筑装修垃圾、危险废物、餐厨垃圾等另有责任主体或主管部门特殊规定的，按采购人要求和属地管理规定执行。垃圾收集、清运、消杀、台账和现场卫生要求详见附件四。</w:t>
      </w:r>
    </w:p>
    <w:p w14:paraId="68D6F5FC">
      <w:pPr>
        <w:pStyle w:val="11"/>
        <w:spacing w:beforeAutospacing="0" w:afterAutospacing="0" w:line="480" w:lineRule="exact"/>
        <w:ind w:firstLine="482" w:firstLineChars="200"/>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13.充电桩运营管理（评审项33）</w:t>
      </w:r>
    </w:p>
    <w:p w14:paraId="19A7C008">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负责校园充电桩系统的日常运营、常态化安全巡查、设备状态监测、故障排查、现场使用秩序维护等工作，保障充电桩设备全天稳定、安全、正常运行。供应商全权负责充电桩后台平台日常运维管理，并承担物联网卡采购、流量费用缴纳等全部运营配套成本，确保平台数据在线、设备联网正常、计费运行稳定。充电桩收费标准由采购人统一制定，设备运营产生的全部收益归供应商所有，供应商按实际使用情况足额向采购人上缴应缴电费。</w:t>
      </w:r>
    </w:p>
    <w:p w14:paraId="537EB392">
      <w:pPr>
        <w:pStyle w:val="11"/>
        <w:spacing w:beforeAutospacing="0" w:afterAutospacing="0" w:line="480" w:lineRule="exact"/>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（四）管理机构与人力资源配置要求（评审项34）</w:t>
      </w:r>
    </w:p>
    <w:p w14:paraId="3EBBB883">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成交后，供应商应按响应承诺，向采购人提交其项目管理机构以及各岗位服务人员安排的报告，内容应包括项目管理机构的设置、各主要岗位的人员名单及其资格，并科学合理配置项目管理服务的岗位和人员，确保能够充分满足各岗位和工作量的需要，要求总人数配置不低于188人。</w:t>
      </w:r>
    </w:p>
    <w:p w14:paraId="42A25693">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应依法与拟投入人员建立劳动或劳务关系，并依法依规承担工资、社会保险、福利、安全管理、培训及劳动用工责任。涉及依法需要证书、许可或专业能力的岗位，相关人员应在上岗前具备相应资格或能力，并按采购人要求提供证件资料备查。项目负责人、副经理、各模块主管及关键岗位人员未经采购人同意不得擅自更换；确需更换的，替换人员的条件和履约能力不得低于原岗位要求。</w:t>
      </w:r>
    </w:p>
    <w:p w14:paraId="68E02F33">
      <w:pPr>
        <w:pStyle w:val="11"/>
        <w:spacing w:beforeAutospacing="0" w:afterAutospacing="0" w:line="480" w:lineRule="exact"/>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（五）供应商服务方案、作业流程及台账要求（评审项35）</w:t>
      </w:r>
    </w:p>
    <w:p w14:paraId="7B7FA3A5">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成交后供应商应结合采购人实际情况制定项目服务组织方案。方案应包括但不限于：项目组织架构、人员配置及排班、综合管理和临时交办事项响应机制、教学会务保障、重大会议及活动保障、展馆接待、学员住宿、餐饮服务、文体及泳池管理、安保消防、环境卫生、绿化景观、莲花池及相关水景养护、房屋及设施设备维护、供水与高低压配电系统运维管理、特种设备安全管理、信息化设备维护及电教保障、打印及非印刷服务、教学用车及车辆充电设施管理、管理运维费用控制、应急保障、档案台账和服务交接等内容。并在采购人规定期限内根据采购人管理要求进一步细化形成项目服务手册、岗位职责、作业流程、服务频次、检查表单、台账模板、应急预案、专业维保单位管理办法和考核整改机制，经采购人确认后执行。相关细化方案不得降低采购文件、响应文件和合同约定的服务标准。</w:t>
      </w:r>
    </w:p>
    <w:p w14:paraId="6AB5F543">
      <w:pPr>
        <w:pStyle w:val="11"/>
        <w:spacing w:beforeAutospacing="0" w:afterAutospacing="0" w:line="480" w:lineRule="exact"/>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（六）服务质量、考核及验收要求</w:t>
      </w:r>
    </w:p>
    <w:p w14:paraId="618F0326">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r>
        <w:rPr>
          <w:rFonts w:hint="eastAsia" w:asciiTheme="minorEastAsia" w:hAnsiTheme="minorEastAsia" w:cstheme="minorEastAsia"/>
          <w:color w:val="000000" w:themeColor="text1"/>
          <w:shd w:val="clear" w:color="auto" w:fill="FFFFFF"/>
          <w14:textFill>
            <w14:solidFill>
              <w14:schemeClr w14:val="tx1"/>
            </w14:solidFill>
          </w14:textFill>
        </w:rPr>
        <w:t>采购人可采取日常检查、专项检查、月度考核、满意度调查、服务对象反馈、台账抽查、现场巡查等方式对供应商服务质量进行监督考核。供应商应自觉接受采购人监督，按要求整改存在的问题。采购人可根据管理需要对考核办法进行细化或调整。</w:t>
      </w:r>
    </w:p>
    <w:p w14:paraId="4678B3A7">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服务质量应达到采购文件、响应文件、合同、采购人管理制度及相关法律法规、标准规范要求。出现人员不到岗、服务响应不及时、设备维护不到位、保洁绿化不达标、安全管理不到位、食品安全隐患、消防值守不符合要求、虚假记录、重大投诉等情形的，采购人有权按合同约定采取限期整改、扣减服务费用、追究违约责任、解除合同等措施。 对采购人认定不符合岗位要求、履约能力不足、服务态度较差、不能胜任本职工作或者特殊资质岗位未按要求持证履职的人员，采购人有权要求供应商在采购人限定的合理期限内补齐、调整或撤换；供应商未按期完成的，采购人有权将相关情形纳入考核负面清单并扣减服务费用，必要时可采取临时替代保障措施，产生的合理费用、损失及管理成本由供应商承担。</w:t>
      </w:r>
      <w:r>
        <w:rPr>
          <w:rFonts w:hint="eastAsia" w:asciiTheme="minorEastAsia" w:hAnsiTheme="minorEastAsia" w:cstheme="minorEastAsia"/>
          <w:b/>
          <w:bCs/>
          <w:color w:val="000000" w:themeColor="text1"/>
          <w:shd w:val="clear" w:color="auto" w:fill="FFFFFF"/>
          <w14:textFill>
            <w14:solidFill>
              <w14:schemeClr w14:val="tx1"/>
            </w14:solidFill>
          </w14:textFill>
        </w:rPr>
        <w:t>（评审项36）</w:t>
      </w:r>
    </w:p>
    <w:p w14:paraId="1F90E842">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供应商应按月向采购人报送服务情况，包括人员到岗、投诉处理、报修维修、设备巡查、专业维保、保洁绿化、垃圾清运、消杀防治、会议活动保障、教学用车、充电桩管理、打印及非印刷服务、费用使用及台账等情况。</w:t>
      </w:r>
      <w:r>
        <w:rPr>
          <w:rFonts w:hint="eastAsia" w:asciiTheme="minorEastAsia" w:hAnsiTheme="minorEastAsia" w:cstheme="minorEastAsia"/>
          <w:b/>
          <w:bCs/>
          <w:color w:val="000000" w:themeColor="text1"/>
          <w:shd w:val="clear" w:color="auto" w:fill="FFFFFF"/>
          <w14:textFill>
            <w14:solidFill>
              <w14:schemeClr w14:val="tx1"/>
            </w14:solidFill>
          </w14:textFill>
        </w:rPr>
        <w:t>（评审项37）</w:t>
      </w:r>
    </w:p>
    <w:p w14:paraId="152AF69C">
      <w:pPr>
        <w:pStyle w:val="11"/>
        <w:spacing w:beforeAutospacing="0" w:afterAutospacing="0" w:line="480" w:lineRule="exact"/>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w:t>
      </w:r>
      <w:r>
        <w:rPr>
          <w:rFonts w:hint="eastAsia" w:asciiTheme="minorEastAsia" w:hAnsiTheme="minorEastAsia" w:cstheme="minorEastAsia"/>
          <w:b/>
          <w:bCs/>
          <w:color w:val="000000" w:themeColor="text1"/>
          <w:shd w:val="clear" w:color="auto" w:fill="FFFFFF"/>
          <w14:textFill>
            <w14:solidFill>
              <w14:schemeClr w14:val="tx1"/>
            </w14:solidFill>
          </w14:textFill>
        </w:rPr>
        <w:t>（七）其他服务要求</w:t>
      </w:r>
    </w:p>
    <w:p w14:paraId="2C436EDA">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本章所列技术和服务要求为本项目正常履约所需的基本要求。供应商应充分考虑项目综合性、连续性和应急性特点，自行补充完善履约所需管理措施，不得以采购文件未逐项列明为由降低服务标准。</w:t>
      </w:r>
    </w:p>
    <w:p w14:paraId="3200732B">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本项目服务范围、楼宇面积、设备设施数量、人员配置、管理运维事项等，最终以采购人实际移交、合同约定及现场管理要求为准。采购人因培训办班、会议活动、场馆开放、维修维护、政策管理要求等需要调整服务重点的，供应商应予配合。</w:t>
      </w:r>
    </w:p>
    <w:p w14:paraId="564F0785">
      <w:pPr>
        <w:pStyle w:val="11"/>
        <w:spacing w:beforeAutospacing="0" w:afterAutospacing="0" w:line="480" w:lineRule="exact"/>
        <w:rPr>
          <w:rFonts w:hint="eastAsia" w:asciiTheme="minorEastAsia" w:hAnsiTheme="minorEastAsia" w:cstheme="minorEastAsia"/>
          <w:b/>
          <w:bCs/>
          <w:color w:val="000000" w:themeColor="text1"/>
          <w:shd w:val="clear" w:color="auto" w:fill="FFFFFF"/>
          <w14:textFill>
            <w14:solidFill>
              <w14:schemeClr w14:val="tx1"/>
            </w14:solidFill>
          </w14:textFill>
        </w:rPr>
      </w:pPr>
      <w:r>
        <w:rPr>
          <w:rFonts w:hint="eastAsia" w:asciiTheme="minorEastAsia" w:hAnsiTheme="minorEastAsia" w:cstheme="minorEastAsia"/>
          <w:b/>
          <w:bCs/>
          <w:color w:val="000000" w:themeColor="text1"/>
          <w:shd w:val="clear" w:color="auto" w:fill="FFFFFF"/>
          <w14:textFill>
            <w14:solidFill>
              <w14:schemeClr w14:val="tx1"/>
            </w14:solidFill>
          </w14:textFill>
        </w:rPr>
        <w:t>★（八）重要岗位人员要求</w:t>
      </w:r>
    </w:p>
    <w:p w14:paraId="30E05D6C">
      <w:pPr>
        <w:pStyle w:val="11"/>
        <w:spacing w:beforeAutospacing="0" w:afterAutospacing="0" w:line="480" w:lineRule="exact"/>
        <w:ind w:firstLine="480" w:firstLineChars="200"/>
        <w:rPr>
          <w:rFonts w:hint="eastAsia" w:asciiTheme="minorEastAsia" w:hAnsiTheme="minorEastAsia" w:cstheme="minorEastAsia"/>
          <w:color w:val="000000" w:themeColor="text1"/>
          <w:shd w:val="clear" w:color="auto" w:fill="FFFFFF"/>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下列重要岗位人员应在上岗前具备相应资格或能力，并按采购人要求提供证件资料备查。</w:t>
      </w:r>
    </w:p>
    <w:tbl>
      <w:tblPr>
        <w:tblStyle w:val="14"/>
        <w:tblW w:w="10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850"/>
        <w:gridCol w:w="3544"/>
        <w:gridCol w:w="4835"/>
      </w:tblGrid>
      <w:tr w14:paraId="4604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tcPr>
          <w:p w14:paraId="2A6CC57D">
            <w:pPr>
              <w:rPr>
                <w:rFonts w:hint="eastAsia" w:ascii="宋体" w:hAnsi="宋体" w:eastAsia="宋体"/>
                <w:color w:val="000000" w:themeColor="text1"/>
                <w:szCs w:val="21"/>
                <w14:textFill>
                  <w14:solidFill>
                    <w14:schemeClr w14:val="tx1"/>
                  </w14:solidFill>
                </w14:textFill>
              </w:rPr>
            </w:pPr>
            <w:bookmarkStart w:id="1" w:name="_Hlk239247714"/>
            <w:r>
              <w:rPr>
                <w:rFonts w:ascii="宋体" w:hAnsi="宋体" w:eastAsia="宋体"/>
                <w:color w:val="000000" w:themeColor="text1"/>
                <w:szCs w:val="21"/>
                <w14:textFill>
                  <w14:solidFill>
                    <w14:schemeClr w14:val="tx1"/>
                  </w14:solidFill>
                </w14:textFill>
              </w:rPr>
              <w:t>重要岗位</w:t>
            </w:r>
          </w:p>
        </w:tc>
        <w:tc>
          <w:tcPr>
            <w:tcW w:w="850" w:type="dxa"/>
          </w:tcPr>
          <w:p w14:paraId="29E10A4D">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人数/配置要求</w:t>
            </w:r>
          </w:p>
        </w:tc>
        <w:tc>
          <w:tcPr>
            <w:tcW w:w="3544" w:type="dxa"/>
          </w:tcPr>
          <w:p w14:paraId="39550729">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主要职责</w:t>
            </w:r>
          </w:p>
        </w:tc>
        <w:tc>
          <w:tcPr>
            <w:tcW w:w="4835" w:type="dxa"/>
          </w:tcPr>
          <w:p w14:paraId="0E008BE9">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资格或能力要求（暂定）</w:t>
            </w:r>
          </w:p>
        </w:tc>
      </w:tr>
      <w:tr w14:paraId="3D63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88" w:type="dxa"/>
            <w:gridSpan w:val="4"/>
          </w:tcPr>
          <w:p w14:paraId="272E7C50">
            <w:pPr>
              <w:rPr>
                <w:rFonts w:hint="eastAsia"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（一）项目综合管理</w:t>
            </w:r>
          </w:p>
        </w:tc>
      </w:tr>
      <w:tr w14:paraId="197A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3BE7CAE2">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项目负责人</w:t>
            </w:r>
          </w:p>
        </w:tc>
        <w:tc>
          <w:tcPr>
            <w:tcW w:w="850" w:type="dxa"/>
            <w:vAlign w:val="center"/>
          </w:tcPr>
          <w:p w14:paraId="465F1C57">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w:t>
            </w:r>
          </w:p>
        </w:tc>
        <w:tc>
          <w:tcPr>
            <w:tcW w:w="3544" w:type="dxa"/>
          </w:tcPr>
          <w:p w14:paraId="49CF0015">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全面负责本项目组织实施、人员管理、质量控制、安全管理、服务协调、考核整改、费用台账和采购人沟通，统筹各部门按采购文件、合同及采购人管理要求履行后勤保障职责。</w:t>
            </w:r>
          </w:p>
        </w:tc>
        <w:tc>
          <w:tcPr>
            <w:tcW w:w="4835" w:type="dxa"/>
          </w:tcPr>
          <w:p w14:paraId="2543149A">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具有类似综合后勤、酒店、物业、培训接待或党校/培训机构后勤服务管理经验，熟悉客房、餐饮、物业、会务、安全等综合管理业务，具备较强组织协调、沟通执行、质量控制和应急处置能力。项目负责人应常驻项目现场，工作时间保持在岗或即时可联系，非工作时间保持通讯畅通，能够按采购人要求及时到场协调处理重大事项。</w:t>
            </w:r>
          </w:p>
        </w:tc>
      </w:tr>
      <w:tr w14:paraId="3A0A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88" w:type="dxa"/>
            <w:gridSpan w:val="4"/>
          </w:tcPr>
          <w:p w14:paraId="7A235F42">
            <w:pPr>
              <w:rPr>
                <w:rFonts w:hint="eastAsia"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w:t>
            </w:r>
            <w:r>
              <w:rPr>
                <w:rFonts w:hint="eastAsia" w:ascii="宋体" w:hAnsi="宋体" w:eastAsia="宋体"/>
                <w:b/>
                <w:bCs/>
                <w:color w:val="000000" w:themeColor="text1"/>
                <w:szCs w:val="21"/>
                <w14:textFill>
                  <w14:solidFill>
                    <w14:schemeClr w14:val="tx1"/>
                  </w14:solidFill>
                </w14:textFill>
              </w:rPr>
              <w:t>二</w:t>
            </w:r>
            <w:r>
              <w:rPr>
                <w:rFonts w:ascii="宋体" w:hAnsi="宋体" w:eastAsia="宋体"/>
                <w:b/>
                <w:bCs/>
                <w:color w:val="000000" w:themeColor="text1"/>
                <w:szCs w:val="21"/>
                <w14:textFill>
                  <w14:solidFill>
                    <w14:schemeClr w14:val="tx1"/>
                  </w14:solidFill>
                </w14:textFill>
              </w:rPr>
              <w:t>）</w:t>
            </w:r>
            <w:r>
              <w:rPr>
                <w:rFonts w:hint="eastAsia" w:ascii="宋体" w:hAnsi="宋体" w:eastAsia="宋体"/>
                <w:b/>
                <w:bCs/>
                <w:color w:val="000000" w:themeColor="text1"/>
                <w:szCs w:val="21"/>
                <w14:textFill>
                  <w14:solidFill>
                    <w14:schemeClr w14:val="tx1"/>
                  </w14:solidFill>
                </w14:textFill>
              </w:rPr>
              <w:t>膳食</w:t>
            </w:r>
            <w:r>
              <w:rPr>
                <w:rFonts w:ascii="宋体" w:hAnsi="宋体" w:eastAsia="宋体"/>
                <w:b/>
                <w:bCs/>
                <w:color w:val="000000" w:themeColor="text1"/>
                <w:szCs w:val="21"/>
                <w14:textFill>
                  <w14:solidFill>
                    <w14:schemeClr w14:val="tx1"/>
                  </w14:solidFill>
                </w14:textFill>
              </w:rPr>
              <w:t>管理</w:t>
            </w:r>
          </w:p>
        </w:tc>
      </w:tr>
      <w:tr w14:paraId="210C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38FD65E0">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膳食保障部</w:t>
            </w:r>
            <w:r>
              <w:rPr>
                <w:rFonts w:ascii="宋体" w:hAnsi="宋体" w:eastAsia="宋体"/>
                <w:color w:val="000000" w:themeColor="text1"/>
                <w:szCs w:val="21"/>
                <w14:textFill>
                  <w14:solidFill>
                    <w14:schemeClr w14:val="tx1"/>
                  </w14:solidFill>
                </w14:textFill>
              </w:rPr>
              <w:t>经理</w:t>
            </w:r>
          </w:p>
        </w:tc>
        <w:tc>
          <w:tcPr>
            <w:tcW w:w="850" w:type="dxa"/>
            <w:vAlign w:val="center"/>
          </w:tcPr>
          <w:p w14:paraId="6C3A0A74">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w:t>
            </w:r>
          </w:p>
        </w:tc>
        <w:tc>
          <w:tcPr>
            <w:tcW w:w="3544" w:type="dxa"/>
          </w:tcPr>
          <w:p w14:paraId="09AFFA4E">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食堂及餐饮服务整体运营管理，统筹日常就餐、加班餐、会议餐、重要接待餐饮保障、员工管理、成本控制、食品安全、资产管理、物资浪费与非正常损耗控制、就餐反馈收集和整改优化；对接采购人监管部门开展食材采购成本核算控制以及用餐结算相关工作。</w:t>
            </w:r>
          </w:p>
        </w:tc>
        <w:tc>
          <w:tcPr>
            <w:tcW w:w="4835" w:type="dxa"/>
          </w:tcPr>
          <w:p w14:paraId="3F22470C">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具有5年</w:t>
            </w:r>
            <w:r>
              <w:rPr>
                <w:rFonts w:hint="eastAsia" w:ascii="宋体" w:hAnsi="宋体" w:eastAsia="宋体"/>
                <w:color w:val="000000" w:themeColor="text1"/>
                <w:szCs w:val="21"/>
                <w14:textFill>
                  <w14:solidFill>
                    <w14:schemeClr w14:val="tx1"/>
                  </w14:solidFill>
                </w14:textFill>
              </w:rPr>
              <w:t>及</w:t>
            </w:r>
            <w:r>
              <w:rPr>
                <w:rFonts w:ascii="宋体" w:hAnsi="宋体" w:eastAsia="宋体"/>
                <w:color w:val="000000" w:themeColor="text1"/>
                <w:szCs w:val="21"/>
                <w14:textFill>
                  <w14:solidFill>
                    <w14:schemeClr w14:val="tx1"/>
                  </w14:solidFill>
                </w14:textFill>
              </w:rPr>
              <w:t>以上餐饮经理、餐饮负责人或餐饮主管从业经验；具备较强现场管理、沟通协调、基础财务对账、数据统计、成本核算和食品安全管理能力，熟悉餐厅卫生、安全和资产管理要求。</w:t>
            </w:r>
          </w:p>
        </w:tc>
      </w:tr>
      <w:tr w14:paraId="4824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72DE8009">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厨师长</w:t>
            </w:r>
          </w:p>
        </w:tc>
        <w:tc>
          <w:tcPr>
            <w:tcW w:w="850" w:type="dxa"/>
            <w:vAlign w:val="center"/>
          </w:tcPr>
          <w:p w14:paraId="5CE2D74C">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2</w:t>
            </w:r>
          </w:p>
        </w:tc>
        <w:tc>
          <w:tcPr>
            <w:tcW w:w="3544" w:type="dxa"/>
          </w:tcPr>
          <w:p w14:paraId="056A6C88">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全面管理、组织和指挥厨房工作，监督食品制作过程和流程，负责菜品质量控制、菜单配合、重要接待餐饮保障、原料申购验收领用使用控制、厨房人员管理、食品安全和厨房卫生制度落实；加强与采购人监管部门联系，合理安排菜单菜谱，组织菜品研发、厨师业务培训和质量监控。</w:t>
            </w:r>
          </w:p>
        </w:tc>
        <w:tc>
          <w:tcPr>
            <w:tcW w:w="4835" w:type="dxa"/>
          </w:tcPr>
          <w:p w14:paraId="5ED262CA">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持有中级及以上中式烹饪师证书；具备大型食堂、酒店餐饮、培训接待餐饮服务或类似餐饮管理经验，具备菜品研发、成本控制、团队培训、库存管理和质量监控能力。</w:t>
            </w:r>
          </w:p>
        </w:tc>
      </w:tr>
      <w:tr w14:paraId="55DD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4507C430">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面点师</w:t>
            </w:r>
          </w:p>
        </w:tc>
        <w:tc>
          <w:tcPr>
            <w:tcW w:w="850" w:type="dxa"/>
            <w:vAlign w:val="center"/>
          </w:tcPr>
          <w:p w14:paraId="55FE4079">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p>
        </w:tc>
        <w:tc>
          <w:tcPr>
            <w:tcW w:w="3544" w:type="dxa"/>
          </w:tcPr>
          <w:p w14:paraId="15FC5666">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负责面点、主食及相关出品制作，按班次、菜谱和采购人用餐保障要求完成面点供应，配合重要接待、早餐、加班餐和应急供餐。</w:t>
            </w:r>
          </w:p>
        </w:tc>
        <w:tc>
          <w:tcPr>
            <w:tcW w:w="4835" w:type="dxa"/>
          </w:tcPr>
          <w:p w14:paraId="0C8B44E0">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具备中式或西式中级及以上面点师证书；熟悉面点制作流程、食品安全、原料储存、出品质量控制和重要接待、早餐、加班餐、应急供餐保障要求。</w:t>
            </w:r>
          </w:p>
        </w:tc>
      </w:tr>
      <w:tr w14:paraId="26D1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3EC8FE91">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餐厅主管</w:t>
            </w:r>
          </w:p>
        </w:tc>
        <w:tc>
          <w:tcPr>
            <w:tcW w:w="850" w:type="dxa"/>
            <w:vAlign w:val="center"/>
          </w:tcPr>
          <w:p w14:paraId="3FDADC3D">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2</w:t>
            </w:r>
          </w:p>
        </w:tc>
        <w:tc>
          <w:tcPr>
            <w:tcW w:w="3544" w:type="dxa"/>
          </w:tcPr>
          <w:p w14:paraId="4A3FE8A6">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餐厅前厅日常管理、员工排班、岗位管理、日常督导、服务规范管理、各类台账整理、前厅后厨衔接、环境卫生、卫生消杀、食材验收、储存留样、加工操作全流程协助管理、安全隐患排查和采购人监管部门交办事项协调。</w:t>
            </w:r>
          </w:p>
        </w:tc>
        <w:tc>
          <w:tcPr>
            <w:tcW w:w="4835" w:type="dxa"/>
          </w:tcPr>
          <w:p w14:paraId="10CD1601">
            <w:pP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具有大专及以上学历，具有2年以上酒店、食堂前厅管理从业经验。具备较好电脑操作、沟通对接及现场管理能力。负责食堂日常事务性工作。负责各类台账整理。熟悉《食品安全法》及学校食堂各项管理制度，协助落实食堂食品安全、卫生消杀、食材验收、储存留样、加工操作全流程管理，排查日常安全隐患，杜绝食品安全事故。负责食堂员工排班、岗位管理、日常督导、服务规范管理，维持前厅、后厨、仓库整体环境卫生与作业秩序。协助采购人监管部门处理相关后勤事务。</w:t>
            </w:r>
          </w:p>
        </w:tc>
      </w:tr>
      <w:tr w14:paraId="3E59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88" w:type="dxa"/>
            <w:gridSpan w:val="4"/>
          </w:tcPr>
          <w:p w14:paraId="5ADF29F3">
            <w:pPr>
              <w:rPr>
                <w:rFonts w:hint="eastAsia"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w:t>
            </w:r>
            <w:r>
              <w:rPr>
                <w:rFonts w:hint="eastAsia" w:ascii="宋体" w:hAnsi="宋体" w:eastAsia="宋体"/>
                <w:b/>
                <w:bCs/>
                <w:color w:val="000000" w:themeColor="text1"/>
                <w:szCs w:val="21"/>
                <w14:textFill>
                  <w14:solidFill>
                    <w14:schemeClr w14:val="tx1"/>
                  </w14:solidFill>
                </w14:textFill>
              </w:rPr>
              <w:t>三</w:t>
            </w:r>
            <w:r>
              <w:rPr>
                <w:rFonts w:ascii="宋体" w:hAnsi="宋体" w:eastAsia="宋体"/>
                <w:b/>
                <w:bCs/>
                <w:color w:val="000000" w:themeColor="text1"/>
                <w:szCs w:val="21"/>
                <w14:textFill>
                  <w14:solidFill>
                    <w14:schemeClr w14:val="tx1"/>
                  </w14:solidFill>
                </w14:textFill>
              </w:rPr>
              <w:t>）</w:t>
            </w:r>
            <w:r>
              <w:rPr>
                <w:rFonts w:hint="eastAsia" w:ascii="宋体" w:hAnsi="宋体" w:eastAsia="宋体"/>
                <w:b/>
                <w:bCs/>
                <w:color w:val="000000" w:themeColor="text1"/>
                <w:szCs w:val="21"/>
                <w14:textFill>
                  <w14:solidFill>
                    <w14:schemeClr w14:val="tx1"/>
                  </w14:solidFill>
                </w14:textFill>
              </w:rPr>
              <w:t>住宿保障</w:t>
            </w:r>
            <w:r>
              <w:rPr>
                <w:rFonts w:ascii="宋体" w:hAnsi="宋体" w:eastAsia="宋体"/>
                <w:b/>
                <w:bCs/>
                <w:color w:val="000000" w:themeColor="text1"/>
                <w:szCs w:val="21"/>
                <w14:textFill>
                  <w14:solidFill>
                    <w14:schemeClr w14:val="tx1"/>
                  </w14:solidFill>
                </w14:textFill>
              </w:rPr>
              <w:t>、</w:t>
            </w:r>
            <w:r>
              <w:rPr>
                <w:rFonts w:hint="eastAsia" w:ascii="宋体" w:hAnsi="宋体" w:eastAsia="宋体"/>
                <w:b/>
                <w:bCs/>
                <w:color w:val="000000" w:themeColor="text1"/>
                <w:szCs w:val="21"/>
                <w14:textFill>
                  <w14:solidFill>
                    <w14:schemeClr w14:val="tx1"/>
                  </w14:solidFill>
                </w14:textFill>
              </w:rPr>
              <w:t>教学</w:t>
            </w:r>
            <w:r>
              <w:rPr>
                <w:rFonts w:ascii="宋体" w:hAnsi="宋体" w:eastAsia="宋体"/>
                <w:b/>
                <w:bCs/>
                <w:color w:val="000000" w:themeColor="text1"/>
                <w:szCs w:val="21"/>
                <w14:textFill>
                  <w14:solidFill>
                    <w14:schemeClr w14:val="tx1"/>
                  </w14:solidFill>
                </w14:textFill>
              </w:rPr>
              <w:t>会务及接待服务</w:t>
            </w:r>
          </w:p>
        </w:tc>
      </w:tr>
      <w:tr w14:paraId="5915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7F2EE2AF">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住宿保障部</w:t>
            </w:r>
            <w:r>
              <w:rPr>
                <w:rFonts w:ascii="宋体" w:hAnsi="宋体" w:eastAsia="宋体"/>
                <w:color w:val="000000" w:themeColor="text1"/>
                <w:szCs w:val="21"/>
                <w14:textFill>
                  <w14:solidFill>
                    <w14:schemeClr w14:val="tx1"/>
                  </w14:solidFill>
                </w14:textFill>
              </w:rPr>
              <w:t>经理</w:t>
            </w:r>
          </w:p>
        </w:tc>
        <w:tc>
          <w:tcPr>
            <w:tcW w:w="850" w:type="dxa"/>
            <w:vAlign w:val="center"/>
          </w:tcPr>
          <w:p w14:paraId="44BB5F77">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p>
        </w:tc>
        <w:tc>
          <w:tcPr>
            <w:tcW w:w="3544" w:type="dxa"/>
          </w:tcPr>
          <w:p w14:paraId="634A36DD">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负责学员住宿楼、客房、前台接待、布草、门卡、仓库、客房保洁、入住退房、报修协同、服务质量和客房团队管理。</w:t>
            </w:r>
          </w:p>
        </w:tc>
        <w:tc>
          <w:tcPr>
            <w:tcW w:w="4835" w:type="dxa"/>
          </w:tcPr>
          <w:p w14:paraId="3127A5EF">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具备5年</w:t>
            </w:r>
            <w:r>
              <w:rPr>
                <w:rFonts w:hint="eastAsia" w:ascii="宋体" w:hAnsi="宋体" w:eastAsia="宋体"/>
                <w:color w:val="000000" w:themeColor="text1"/>
                <w:szCs w:val="21"/>
                <w14:textFill>
                  <w14:solidFill>
                    <w14:schemeClr w14:val="tx1"/>
                  </w14:solidFill>
                </w14:textFill>
              </w:rPr>
              <w:t>及</w:t>
            </w:r>
            <w:r>
              <w:rPr>
                <w:rFonts w:ascii="宋体" w:hAnsi="宋体" w:eastAsia="宋体"/>
                <w:color w:val="000000" w:themeColor="text1"/>
                <w:szCs w:val="21"/>
                <w14:textFill>
                  <w14:solidFill>
                    <w14:schemeClr w14:val="tx1"/>
                  </w14:solidFill>
                </w14:textFill>
              </w:rPr>
              <w:t>以上客房、酒店住宿或培训接待住宿服务管理经验，熟悉客房服务流程、房态管理、布草管理、客诉处理和信息保密要求。</w:t>
            </w:r>
          </w:p>
        </w:tc>
      </w:tr>
      <w:tr w14:paraId="1365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2DA852EE">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教学保障部</w:t>
            </w:r>
            <w:r>
              <w:rPr>
                <w:rFonts w:ascii="宋体" w:hAnsi="宋体" w:eastAsia="宋体"/>
                <w:color w:val="000000" w:themeColor="text1"/>
                <w:szCs w:val="21"/>
                <w14:textFill>
                  <w14:solidFill>
                    <w14:schemeClr w14:val="tx1"/>
                  </w14:solidFill>
                </w14:textFill>
              </w:rPr>
              <w:t>经理</w:t>
            </w:r>
          </w:p>
        </w:tc>
        <w:tc>
          <w:tcPr>
            <w:tcW w:w="850" w:type="dxa"/>
            <w:vAlign w:val="center"/>
          </w:tcPr>
          <w:p w14:paraId="2D824503">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p>
        </w:tc>
        <w:tc>
          <w:tcPr>
            <w:tcW w:w="3544" w:type="dxa"/>
          </w:tcPr>
          <w:p w14:paraId="799E41AD">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负责教学会务、重大会议及活动、重要接待、会场布置、人员调度、物资准备、现场执行、会后复位和会务服务质量管理。</w:t>
            </w:r>
          </w:p>
        </w:tc>
        <w:tc>
          <w:tcPr>
            <w:tcW w:w="4835" w:type="dxa"/>
          </w:tcPr>
          <w:p w14:paraId="474A95E3">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具备5年</w:t>
            </w:r>
            <w:r>
              <w:rPr>
                <w:rFonts w:hint="eastAsia" w:ascii="宋体" w:hAnsi="宋体" w:eastAsia="宋体"/>
                <w:color w:val="000000" w:themeColor="text1"/>
                <w:szCs w:val="21"/>
                <w14:textFill>
                  <w14:solidFill>
                    <w14:schemeClr w14:val="tx1"/>
                  </w14:solidFill>
                </w14:textFill>
              </w:rPr>
              <w:t>及</w:t>
            </w:r>
            <w:r>
              <w:rPr>
                <w:rFonts w:ascii="宋体" w:hAnsi="宋体" w:eastAsia="宋体"/>
                <w:color w:val="000000" w:themeColor="text1"/>
                <w:szCs w:val="21"/>
                <w14:textFill>
                  <w14:solidFill>
                    <w14:schemeClr w14:val="tx1"/>
                  </w14:solidFill>
                </w14:textFill>
              </w:rPr>
              <w:t>以上会务接待、会议活动、会展组织或酒店服务管理经验，熟悉会务礼仪、接待流程、活动执行、团队调度和保密要求。</w:t>
            </w:r>
          </w:p>
        </w:tc>
      </w:tr>
      <w:tr w14:paraId="063A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2771C4AE">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会务接待形象岗</w:t>
            </w:r>
          </w:p>
        </w:tc>
        <w:tc>
          <w:tcPr>
            <w:tcW w:w="850" w:type="dxa"/>
            <w:vAlign w:val="center"/>
          </w:tcPr>
          <w:p w14:paraId="5292FFC8">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根据岗位配齐人员</w:t>
            </w:r>
          </w:p>
        </w:tc>
        <w:tc>
          <w:tcPr>
            <w:tcW w:w="3544" w:type="dxa"/>
          </w:tcPr>
          <w:p w14:paraId="6C6B7AD0">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负责教学会务、重大会议、重要接待、展馆参观或临时保障任务中的迎宾引导、茶水服务、会场整理、座签/背签摆放、物资传递和现场服务。</w:t>
            </w:r>
          </w:p>
        </w:tc>
        <w:tc>
          <w:tcPr>
            <w:tcW w:w="4835" w:type="dxa"/>
          </w:tcPr>
          <w:p w14:paraId="725371A0">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应统一着装、仪容仪表端庄、形象良好、服务规范，具备相应会务接待或酒店化服务经验，熟悉礼仪服务、保密纪律和突发情况报告流程。</w:t>
            </w:r>
          </w:p>
        </w:tc>
      </w:tr>
      <w:tr w14:paraId="1EE5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1DEBDD6D">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展馆主管</w:t>
            </w:r>
          </w:p>
        </w:tc>
        <w:tc>
          <w:tcPr>
            <w:tcW w:w="850" w:type="dxa"/>
            <w:vAlign w:val="center"/>
          </w:tcPr>
          <w:p w14:paraId="7C9A5957">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p>
        </w:tc>
        <w:tc>
          <w:tcPr>
            <w:tcW w:w="3544" w:type="dxa"/>
          </w:tcPr>
          <w:p w14:paraId="48624808">
            <w:pP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主管：负责学习研究馆、校史馆、福州市党风廉政警示教育馆及采购人后续设于校内相关专题展览的展馆服务统筹、预约电话接听、接待排班、卫生检查、设备巡查、突发情况报告、服务质量检查和重要参观活动保障。</w:t>
            </w:r>
          </w:p>
        </w:tc>
        <w:tc>
          <w:tcPr>
            <w:tcW w:w="4835" w:type="dxa"/>
          </w:tcPr>
          <w:p w14:paraId="7D722442">
            <w:pP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具备大专及以上学历，具备展馆接待、政务接待、培训接待、会务接待或公共文化场馆服务管理经验，熟悉展馆开放管理、参观动线、讲解配合、秩序维护、保密纪律、设备报修和重要接待保障流程，具备较强组织协调和现场处置能力。</w:t>
            </w:r>
          </w:p>
        </w:tc>
      </w:tr>
      <w:tr w14:paraId="7609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766EFA0A">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展馆接待人员</w:t>
            </w:r>
          </w:p>
        </w:tc>
        <w:tc>
          <w:tcPr>
            <w:tcW w:w="850" w:type="dxa"/>
            <w:vAlign w:val="center"/>
          </w:tcPr>
          <w:p w14:paraId="1A7B4E77">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p>
        </w:tc>
        <w:tc>
          <w:tcPr>
            <w:tcW w:w="3544" w:type="dxa"/>
          </w:tcPr>
          <w:p w14:paraId="077DF663">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负责展馆开放前检查、迎宾引导、参观秩序维护、来宾接待、展陈区域巡视、保洁协同、设备异常报修、参观记录和临时保障任务。</w:t>
            </w:r>
          </w:p>
        </w:tc>
        <w:tc>
          <w:tcPr>
            <w:tcW w:w="4835" w:type="dxa"/>
          </w:tcPr>
          <w:p w14:paraId="0661EE90">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应统一着装、仪容仪表端庄、形象良好、服务规范，熟悉展馆基本情况、参观礼仪、保密纪律和突发情况报告流程；具备展馆接待、政务接待、培训接待或会务接待服务经验者优先。</w:t>
            </w:r>
          </w:p>
        </w:tc>
      </w:tr>
      <w:tr w14:paraId="3C1D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6F01FD35">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救生员</w:t>
            </w:r>
          </w:p>
        </w:tc>
        <w:tc>
          <w:tcPr>
            <w:tcW w:w="850" w:type="dxa"/>
            <w:vAlign w:val="center"/>
          </w:tcPr>
          <w:p w14:paraId="3A5BCC12">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根据岗位配齐</w:t>
            </w:r>
          </w:p>
        </w:tc>
        <w:tc>
          <w:tcPr>
            <w:tcW w:w="3544" w:type="dxa"/>
          </w:tcPr>
          <w:p w14:paraId="6EB0A514">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负责泳池开放期间安全巡视、秩序维护、救护、应急处置和开放前后安全检查。</w:t>
            </w:r>
          </w:p>
        </w:tc>
        <w:tc>
          <w:tcPr>
            <w:tcW w:w="4835" w:type="dxa"/>
          </w:tcPr>
          <w:p w14:paraId="09B9E89B">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持有有效救生员证，具备游泳救生、现场巡查和应急处置能力；泳池开放期间按采购人要求和相关规定到岗履职。</w:t>
            </w:r>
          </w:p>
        </w:tc>
      </w:tr>
      <w:tr w14:paraId="1FD4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88" w:type="dxa"/>
            <w:gridSpan w:val="4"/>
          </w:tcPr>
          <w:p w14:paraId="46074450">
            <w:pPr>
              <w:rPr>
                <w:rFonts w:hint="eastAsia"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w:t>
            </w:r>
            <w:r>
              <w:rPr>
                <w:rFonts w:hint="eastAsia" w:ascii="宋体" w:hAnsi="宋体" w:eastAsia="宋体"/>
                <w:b/>
                <w:bCs/>
                <w:color w:val="000000" w:themeColor="text1"/>
                <w:szCs w:val="21"/>
                <w14:textFill>
                  <w14:solidFill>
                    <w14:schemeClr w14:val="tx1"/>
                  </w14:solidFill>
                </w14:textFill>
              </w:rPr>
              <w:t>四</w:t>
            </w:r>
            <w:r>
              <w:rPr>
                <w:rFonts w:ascii="宋体" w:hAnsi="宋体" w:eastAsia="宋体"/>
                <w:b/>
                <w:bCs/>
                <w:color w:val="000000" w:themeColor="text1"/>
                <w:szCs w:val="21"/>
                <w14:textFill>
                  <w14:solidFill>
                    <w14:schemeClr w14:val="tx1"/>
                  </w14:solidFill>
                </w14:textFill>
              </w:rPr>
              <w:t>）物业管理、工程维修、特种设备</w:t>
            </w:r>
            <w:r>
              <w:rPr>
                <w:rFonts w:hint="eastAsia" w:ascii="宋体" w:hAnsi="宋体" w:eastAsia="宋体"/>
                <w:b/>
                <w:bCs/>
                <w:color w:val="000000" w:themeColor="text1"/>
                <w:szCs w:val="21"/>
                <w14:textFill>
                  <w14:solidFill>
                    <w14:schemeClr w14:val="tx1"/>
                  </w14:solidFill>
                </w14:textFill>
              </w:rPr>
              <w:t>安全、</w:t>
            </w:r>
            <w:r>
              <w:rPr>
                <w:rFonts w:ascii="宋体" w:hAnsi="宋体" w:eastAsia="宋体"/>
                <w:b/>
                <w:bCs/>
                <w:color w:val="000000" w:themeColor="text1"/>
                <w:szCs w:val="21"/>
                <w14:textFill>
                  <w14:solidFill>
                    <w14:schemeClr w14:val="tx1"/>
                  </w14:solidFill>
                </w14:textFill>
              </w:rPr>
              <w:t>安保、消防及秩序维护</w:t>
            </w:r>
            <w:r>
              <w:rPr>
                <w:rFonts w:hint="eastAsia" w:ascii="宋体" w:hAnsi="宋体" w:eastAsia="宋体"/>
                <w:b/>
                <w:bCs/>
                <w:color w:val="000000" w:themeColor="text1"/>
                <w:szCs w:val="21"/>
                <w14:textFill>
                  <w14:solidFill>
                    <w14:schemeClr w14:val="tx1"/>
                  </w14:solidFill>
                </w14:textFill>
              </w:rPr>
              <w:t>、</w:t>
            </w:r>
            <w:r>
              <w:rPr>
                <w:rFonts w:ascii="宋体" w:hAnsi="宋体" w:eastAsia="宋体"/>
                <w:b/>
                <w:bCs/>
                <w:color w:val="000000" w:themeColor="text1"/>
                <w:szCs w:val="21"/>
                <w14:textFill>
                  <w14:solidFill>
                    <w14:schemeClr w14:val="tx1"/>
                  </w14:solidFill>
                </w14:textFill>
              </w:rPr>
              <w:t>电教保障</w:t>
            </w:r>
            <w:r>
              <w:rPr>
                <w:rFonts w:hint="eastAsia" w:ascii="宋体" w:hAnsi="宋体" w:eastAsia="宋体"/>
                <w:b/>
                <w:bCs/>
                <w:color w:val="000000" w:themeColor="text1"/>
                <w:szCs w:val="21"/>
                <w14:textFill>
                  <w14:solidFill>
                    <w14:schemeClr w14:val="tx1"/>
                  </w14:solidFill>
                </w14:textFill>
              </w:rPr>
              <w:t>、室外卫生、绿化保洁</w:t>
            </w:r>
          </w:p>
        </w:tc>
      </w:tr>
      <w:tr w14:paraId="289D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3A823354">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物业管理部</w:t>
            </w:r>
            <w:r>
              <w:rPr>
                <w:rFonts w:ascii="宋体" w:hAnsi="宋体" w:eastAsia="宋体"/>
                <w:color w:val="000000" w:themeColor="text1"/>
                <w:szCs w:val="21"/>
                <w14:textFill>
                  <w14:solidFill>
                    <w14:schemeClr w14:val="tx1"/>
                  </w14:solidFill>
                </w14:textFill>
              </w:rPr>
              <w:t>经理</w:t>
            </w:r>
          </w:p>
        </w:tc>
        <w:tc>
          <w:tcPr>
            <w:tcW w:w="850" w:type="dxa"/>
            <w:vAlign w:val="center"/>
          </w:tcPr>
          <w:p w14:paraId="2FF7F1A9">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w:t>
            </w:r>
          </w:p>
        </w:tc>
        <w:tc>
          <w:tcPr>
            <w:tcW w:w="3544" w:type="dxa"/>
          </w:tcPr>
          <w:p w14:paraId="55FEB98F">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物业管理部工作，统筹校园设施设备巡查维护、安保消防、绿化保洁、垃圾清运、工程维修、特种设备管理、设施设备软硬件操作维护、维修检测、资料台账和隐患整改等物业服务事项。全面负责设施设备软硬件的操作、维护、维修、检测、管理。</w:t>
            </w:r>
          </w:p>
        </w:tc>
        <w:tc>
          <w:tcPr>
            <w:tcW w:w="4835" w:type="dxa"/>
          </w:tcPr>
          <w:p w14:paraId="282182A2">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具备物业管理、设施设备管理维护</w:t>
            </w:r>
            <w:r>
              <w:rPr>
                <w:rFonts w:hint="eastAsia" w:ascii="宋体" w:hAnsi="宋体" w:eastAsia="宋体"/>
                <w:color w:val="000000" w:themeColor="text1"/>
                <w:szCs w:val="21"/>
                <w14:textFill>
                  <w14:solidFill>
                    <w14:schemeClr w14:val="tx1"/>
                  </w14:solidFill>
                </w14:textFill>
              </w:rPr>
              <w:t>、工程部经理或负责人</w:t>
            </w:r>
            <w:r>
              <w:rPr>
                <w:rFonts w:ascii="宋体" w:hAnsi="宋体" w:eastAsia="宋体"/>
                <w:color w:val="000000" w:themeColor="text1"/>
                <w:szCs w:val="21"/>
                <w14:textFill>
                  <w14:solidFill>
                    <w14:schemeClr w14:val="tx1"/>
                  </w14:solidFill>
                </w14:textFill>
              </w:rPr>
              <w:t>相关经验，熟悉校园类、培训类或类似公共机构物业服务管理流程，能够组织设施设备运行维护、质量检查、人员调度、报修闭环、隐患整改、专业维保单位协调和突发事件处置。</w:t>
            </w:r>
          </w:p>
        </w:tc>
      </w:tr>
      <w:tr w14:paraId="30EC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376AECF3">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工程</w:t>
            </w:r>
            <w:r>
              <w:rPr>
                <w:rFonts w:hint="eastAsia" w:ascii="宋体" w:hAnsi="宋体" w:eastAsia="宋体"/>
                <w:color w:val="000000" w:themeColor="text1"/>
                <w:szCs w:val="21"/>
                <w14:textFill>
                  <w14:solidFill>
                    <w14:schemeClr w14:val="tx1"/>
                  </w14:solidFill>
                </w14:textFill>
              </w:rPr>
              <w:t>组</w:t>
            </w:r>
          </w:p>
        </w:tc>
        <w:tc>
          <w:tcPr>
            <w:tcW w:w="850" w:type="dxa"/>
            <w:vAlign w:val="center"/>
          </w:tcPr>
          <w:p w14:paraId="1C10EB5D">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w:t>
            </w:r>
          </w:p>
        </w:tc>
        <w:tc>
          <w:tcPr>
            <w:tcW w:w="3544" w:type="dxa"/>
          </w:tcPr>
          <w:p w14:paraId="50221465">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房屋及附属设施巡查维护、基础水电、供配电、暖通设备、管网疏通、食堂设备、家电、门锁、感应器、空调清洗、下水道、卫生间、门窗家具、开水器、直饮水、照明、消防、安防、停车系统、充电桩等日常维护和报修处理；配合危险构件临时加固、维修监督和验收</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负责电梯、电动观光车等特种设备安全管理</w:t>
            </w:r>
            <w:r>
              <w:rPr>
                <w:rFonts w:hint="eastAsia" w:ascii="宋体" w:hAnsi="宋体" w:eastAsia="宋体"/>
                <w:color w:val="000000" w:themeColor="text1"/>
                <w:szCs w:val="21"/>
                <w14:textFill>
                  <w14:solidFill>
                    <w14:schemeClr w14:val="tx1"/>
                  </w14:solidFill>
                </w14:textFill>
              </w:rPr>
              <w:t>。</w:t>
            </w:r>
          </w:p>
        </w:tc>
        <w:tc>
          <w:tcPr>
            <w:tcW w:w="4835" w:type="dxa"/>
          </w:tcPr>
          <w:p w14:paraId="467536B7">
            <w:pP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工程组主管1名，</w:t>
            </w:r>
            <w:r>
              <w:rPr>
                <w:rFonts w:ascii="宋体" w:hAnsi="宋体" w:eastAsia="宋体"/>
                <w:color w:val="000000" w:themeColor="text1"/>
                <w:szCs w:val="21"/>
                <w14:textFill>
                  <w14:solidFill>
                    <w14:schemeClr w14:val="tx1"/>
                  </w14:solidFill>
                </w14:textFill>
              </w:rPr>
              <w:t>具备工程维修组织、排班、巡检、报修闭环和安全作业管理能力</w:t>
            </w:r>
            <w:r>
              <w:rPr>
                <w:rFonts w:hint="eastAsia" w:ascii="宋体" w:hAnsi="宋体" w:eastAsia="宋体"/>
                <w:color w:val="000000" w:themeColor="text1"/>
                <w:szCs w:val="21"/>
                <w14:textFill>
                  <w14:solidFill>
                    <w14:schemeClr w14:val="tx1"/>
                  </w14:solidFill>
                </w14:textFill>
              </w:rPr>
              <w:t>；</w:t>
            </w:r>
          </w:p>
          <w:p w14:paraId="19C0E406">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至少3名人员具备高压电工作业特种作业操作证，</w:t>
            </w:r>
            <w:r>
              <w:rPr>
                <w:rFonts w:hint="eastAsia" w:ascii="宋体" w:hAnsi="宋体" w:eastAsia="宋体"/>
                <w:color w:val="000000" w:themeColor="text1"/>
                <w:szCs w:val="21"/>
                <w14:textFill>
                  <w14:solidFill>
                    <w14:schemeClr w14:val="tx1"/>
                  </w14:solidFill>
                </w14:textFill>
              </w:rPr>
              <w:t>所有</w:t>
            </w:r>
            <w:r>
              <w:rPr>
                <w:rFonts w:ascii="宋体" w:hAnsi="宋体" w:eastAsia="宋体"/>
                <w:color w:val="000000" w:themeColor="text1"/>
                <w:szCs w:val="21"/>
                <w14:textFill>
                  <w14:solidFill>
                    <w14:schemeClr w14:val="tx1"/>
                  </w14:solidFill>
                </w14:textFill>
              </w:rPr>
              <w:t>涉及电工作业人员应具备电工作业特种作业操作证；</w:t>
            </w:r>
          </w:p>
          <w:p w14:paraId="17F86FFB">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特种设备安全</w:t>
            </w:r>
            <w:r>
              <w:rPr>
                <w:rFonts w:hint="eastAsia" w:ascii="宋体" w:hAnsi="宋体" w:eastAsia="宋体"/>
                <w:color w:val="000000" w:themeColor="text1"/>
                <w:szCs w:val="21"/>
                <w14:textFill>
                  <w14:solidFill>
                    <w14:schemeClr w14:val="tx1"/>
                  </w14:solidFill>
                </w14:textFill>
              </w:rPr>
              <w:t>管理</w:t>
            </w:r>
            <w:r>
              <w:rPr>
                <w:rFonts w:ascii="宋体" w:hAnsi="宋体" w:eastAsia="宋体"/>
                <w:color w:val="000000" w:themeColor="text1"/>
                <w:szCs w:val="21"/>
                <w14:textFill>
                  <w14:solidFill>
                    <w14:schemeClr w14:val="tx1"/>
                  </w14:solidFill>
                </w14:textFill>
              </w:rPr>
              <w:t>安全总监1名、安全员2名</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均应具备特种设备安全管理和作业人员资格（A）或符合市场监管部门有关要求的相应资格/能力。负责特种设备安全管理、日管控、周排查、月调度、台账整理、</w:t>
            </w:r>
            <w:r>
              <w:rPr>
                <w:rFonts w:hint="eastAsia" w:ascii="宋体" w:hAnsi="宋体" w:eastAsia="宋体"/>
                <w:color w:val="000000" w:themeColor="text1"/>
                <w:szCs w:val="21"/>
                <w14:textFill>
                  <w14:solidFill>
                    <w14:schemeClr w14:val="tx1"/>
                  </w14:solidFill>
                </w14:textFill>
              </w:rPr>
              <w:t>组织</w:t>
            </w:r>
            <w:r>
              <w:rPr>
                <w:rFonts w:ascii="宋体" w:hAnsi="宋体" w:eastAsia="宋体"/>
                <w:color w:val="000000" w:themeColor="text1"/>
                <w:szCs w:val="21"/>
                <w14:textFill>
                  <w14:solidFill>
                    <w14:schemeClr w14:val="tx1"/>
                  </w14:solidFill>
                </w14:textFill>
              </w:rPr>
              <w:t>维保</w:t>
            </w:r>
            <w:r>
              <w:rPr>
                <w:rFonts w:hint="eastAsia" w:ascii="宋体" w:hAnsi="宋体" w:eastAsia="宋体"/>
                <w:color w:val="000000" w:themeColor="text1"/>
                <w:szCs w:val="21"/>
                <w14:textFill>
                  <w14:solidFill>
                    <w14:schemeClr w14:val="tx1"/>
                  </w14:solidFill>
                </w14:textFill>
              </w:rPr>
              <w:t>和</w:t>
            </w:r>
            <w:r>
              <w:rPr>
                <w:rFonts w:ascii="宋体" w:hAnsi="宋体" w:eastAsia="宋体"/>
                <w:color w:val="000000" w:themeColor="text1"/>
                <w:szCs w:val="21"/>
                <w14:textFill>
                  <w14:solidFill>
                    <w14:schemeClr w14:val="tx1"/>
                  </w14:solidFill>
                </w14:textFill>
              </w:rPr>
              <w:t>年检、隐患整改、应急处置和监管部门检查配合。</w:t>
            </w:r>
          </w:p>
        </w:tc>
      </w:tr>
      <w:tr w14:paraId="1BF9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03B68065">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安保（消防）主管</w:t>
            </w:r>
          </w:p>
        </w:tc>
        <w:tc>
          <w:tcPr>
            <w:tcW w:w="850" w:type="dxa"/>
            <w:vAlign w:val="center"/>
          </w:tcPr>
          <w:p w14:paraId="0B68562C">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不少于1</w:t>
            </w:r>
          </w:p>
        </w:tc>
        <w:tc>
          <w:tcPr>
            <w:tcW w:w="3544" w:type="dxa"/>
          </w:tcPr>
          <w:p w14:paraId="3CBE814B">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消防安全管理、巡逻检查、 门卫管理、车辆管理、秩序管理等各项管理制度完善，能根据实际情况和要求对制度进行更新；人员守则、纪律、权限、保密制度完善，队员熟悉各项制度 ，尤其是与自身岗位相关的制度；交接班制度、考勤制度、物资管理制度完善 ，各类登记本记录完整、清晰、准确 ，各类台帐记录齐全；监控室制度、电视监控系统的维护管理制度完善；保安人员各项教育、专业技能培训有计划、有落实、有成效；有各种灾害、突发情况应急预案，并定期组织演练；</w:t>
            </w:r>
          </w:p>
        </w:tc>
        <w:tc>
          <w:tcPr>
            <w:tcW w:w="4835" w:type="dxa"/>
          </w:tcPr>
          <w:p w14:paraId="7372F3A2">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50周岁以下，退伍军人优先，有</w:t>
            </w:r>
            <w:r>
              <w:rPr>
                <w:rFonts w:hint="eastAsia" w:ascii="宋体" w:hAnsi="宋体" w:eastAsia="宋体"/>
                <w:color w:val="000000" w:themeColor="text1"/>
                <w:szCs w:val="21"/>
                <w14:textFill>
                  <w14:solidFill>
                    <w14:schemeClr w14:val="tx1"/>
                  </w14:solidFill>
                </w14:textFill>
              </w:rPr>
              <w:t>3</w:t>
            </w:r>
            <w:r>
              <w:rPr>
                <w:rFonts w:ascii="宋体" w:hAnsi="宋体" w:eastAsia="宋体"/>
                <w:color w:val="000000" w:themeColor="text1"/>
                <w:szCs w:val="21"/>
                <w14:textFill>
                  <w14:solidFill>
                    <w14:schemeClr w14:val="tx1"/>
                  </w14:solidFill>
                </w14:textFill>
              </w:rPr>
              <w:t>年</w:t>
            </w:r>
            <w:r>
              <w:rPr>
                <w:rFonts w:hint="eastAsia" w:ascii="宋体" w:hAnsi="宋体" w:eastAsia="宋体"/>
                <w:color w:val="000000" w:themeColor="text1"/>
                <w:szCs w:val="21"/>
                <w14:textFill>
                  <w14:solidFill>
                    <w14:schemeClr w14:val="tx1"/>
                  </w14:solidFill>
                </w14:textFill>
              </w:rPr>
              <w:t>及</w:t>
            </w:r>
            <w:r>
              <w:rPr>
                <w:rFonts w:ascii="宋体" w:hAnsi="宋体" w:eastAsia="宋体"/>
                <w:color w:val="000000" w:themeColor="text1"/>
                <w:szCs w:val="21"/>
                <w14:textFill>
                  <w14:solidFill>
                    <w14:schemeClr w14:val="tx1"/>
                  </w14:solidFill>
                </w14:textFill>
              </w:rPr>
              <w:t>以上</w:t>
            </w:r>
            <w:r>
              <w:rPr>
                <w:rFonts w:hint="eastAsia" w:ascii="宋体" w:hAnsi="宋体" w:eastAsia="宋体"/>
                <w:color w:val="000000" w:themeColor="text1"/>
                <w:szCs w:val="21"/>
                <w14:textFill>
                  <w14:solidFill>
                    <w14:schemeClr w14:val="tx1"/>
                  </w14:solidFill>
                </w14:textFill>
              </w:rPr>
              <w:t>安防管理</w:t>
            </w:r>
            <w:r>
              <w:rPr>
                <w:rFonts w:ascii="宋体" w:hAnsi="宋体" w:eastAsia="宋体"/>
                <w:color w:val="000000" w:themeColor="text1"/>
                <w:szCs w:val="21"/>
                <w14:textFill>
                  <w14:solidFill>
                    <w14:schemeClr w14:val="tx1"/>
                  </w14:solidFill>
                </w14:textFill>
              </w:rPr>
              <w:t>相关工作经验</w:t>
            </w:r>
            <w:r>
              <w:rPr>
                <w:rFonts w:hint="eastAsia" w:ascii="宋体" w:hAnsi="宋体" w:eastAsia="宋体"/>
                <w:color w:val="000000" w:themeColor="text1"/>
                <w:szCs w:val="21"/>
                <w14:textFill>
                  <w14:solidFill>
                    <w14:schemeClr w14:val="tx1"/>
                  </w14:solidFill>
                </w14:textFill>
              </w:rPr>
              <w:t>。</w:t>
            </w:r>
          </w:p>
        </w:tc>
      </w:tr>
      <w:tr w14:paraId="4D50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4E0DF4CE">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安保人员</w:t>
            </w:r>
            <w:r>
              <w:rPr>
                <w:rFonts w:hint="eastAsia" w:ascii="宋体" w:hAnsi="宋体" w:eastAsia="宋体"/>
                <w:color w:val="000000" w:themeColor="text1"/>
                <w:szCs w:val="21"/>
                <w14:textFill>
                  <w14:solidFill>
                    <w14:schemeClr w14:val="tx1"/>
                  </w14:solidFill>
                </w14:textFill>
              </w:rPr>
              <w:t>（含标兵岗3名）</w:t>
            </w:r>
          </w:p>
        </w:tc>
        <w:tc>
          <w:tcPr>
            <w:tcW w:w="850" w:type="dxa"/>
            <w:vAlign w:val="center"/>
          </w:tcPr>
          <w:p w14:paraId="08754ED1">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根据岗位配齐人员</w:t>
            </w:r>
          </w:p>
        </w:tc>
        <w:tc>
          <w:tcPr>
            <w:tcW w:w="3544" w:type="dxa"/>
          </w:tcPr>
          <w:p w14:paraId="175D6273">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负责门岗值守、访客登记、车辆引导、校园巡逻、秩序维护、快递报刊接收分发、突发事件先期处置及采购人交办的安全保障事项；其中</w:t>
            </w:r>
            <w:r>
              <w:rPr>
                <w:rFonts w:hint="eastAsia" w:ascii="宋体" w:hAnsi="宋体" w:eastAsia="宋体"/>
                <w:color w:val="000000" w:themeColor="text1"/>
                <w:szCs w:val="21"/>
                <w14:textFill>
                  <w14:solidFill>
                    <w14:schemeClr w14:val="tx1"/>
                  </w14:solidFill>
                </w14:textFill>
              </w:rPr>
              <w:t>标兵岗</w:t>
            </w:r>
            <w:r>
              <w:rPr>
                <w:rFonts w:ascii="宋体" w:hAnsi="宋体" w:eastAsia="宋体"/>
                <w:color w:val="000000" w:themeColor="text1"/>
                <w:szCs w:val="21"/>
                <w14:textFill>
                  <w14:solidFill>
                    <w14:schemeClr w14:val="tx1"/>
                  </w14:solidFill>
                </w14:textFill>
              </w:rPr>
              <w:t>应承担门岗展示和重要活动秩序维护工作。</w:t>
            </w:r>
          </w:p>
        </w:tc>
        <w:tc>
          <w:tcPr>
            <w:tcW w:w="4835" w:type="dxa"/>
          </w:tcPr>
          <w:p w14:paraId="749683EE">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应符合保安岗位用工和管理要求，均应持有效保安员证；上岗前应提供证件复印件或扫描件留底备查，人员调整更换时应同步补齐相应资料，任何服务期间不得出现应持证岗位证件缺失或过期情形。</w:t>
            </w:r>
            <w:r>
              <w:rPr>
                <w:rFonts w:hint="eastAsia" w:ascii="宋体" w:hAnsi="宋体" w:eastAsia="宋体"/>
                <w:color w:val="000000" w:themeColor="text1"/>
                <w:szCs w:val="21"/>
                <w14:textFill>
                  <w14:solidFill>
                    <w14:schemeClr w14:val="tx1"/>
                  </w14:solidFill>
                </w14:textFill>
              </w:rPr>
              <w:t>标兵岗</w:t>
            </w:r>
            <w:r>
              <w:rPr>
                <w:rFonts w:ascii="宋体" w:hAnsi="宋体" w:eastAsia="宋体"/>
                <w:color w:val="000000" w:themeColor="text1"/>
                <w:szCs w:val="21"/>
                <w14:textFill>
                  <w14:solidFill>
                    <w14:schemeClr w14:val="tx1"/>
                  </w14:solidFill>
                </w14:textFill>
              </w:rPr>
              <w:t>应仪容仪表端庄、服务规范、沟通得体，熟悉人员车辆进出管理、突发情况报告和基本应急处置流程。</w:t>
            </w:r>
          </w:p>
        </w:tc>
      </w:tr>
      <w:tr w14:paraId="5CB2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1A52EFC0">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消控室人员</w:t>
            </w:r>
          </w:p>
        </w:tc>
        <w:tc>
          <w:tcPr>
            <w:tcW w:w="850" w:type="dxa"/>
            <w:vAlign w:val="center"/>
          </w:tcPr>
          <w:p w14:paraId="7AC45357">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根据岗位配齐</w:t>
            </w:r>
          </w:p>
        </w:tc>
        <w:tc>
          <w:tcPr>
            <w:tcW w:w="3544" w:type="dxa"/>
          </w:tcPr>
          <w:p w14:paraId="58BE3274">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负责3个消防控制室24小时值班、报警处置、消防设施监控、接听电梯对讲电话、视频监控和相关系统查看、监控录像按采购人要求保存、记录管理、联动报告和消防应急协助；每班不少于2人。</w:t>
            </w:r>
          </w:p>
        </w:tc>
        <w:tc>
          <w:tcPr>
            <w:tcW w:w="4835" w:type="dxa"/>
          </w:tcPr>
          <w:p w14:paraId="13A2841B">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应持有有效建（构）筑物消防员证或消防设施操作员证，其中涉及消防设施监控操作的人员应满足国家及行业关于消防控制室值班操作的资格要求；能熟练掌握设施巡检、报警信息处置、火灾自动报警系统操作、自动灭火系统操作等职业技能，熟悉消防控制室值班、报警确认、应急联动、记录管理、监控资料保密和调取登记要求。</w:t>
            </w:r>
          </w:p>
        </w:tc>
      </w:tr>
      <w:tr w14:paraId="4F87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4D7835FE">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电动观光车驾驶员</w:t>
            </w:r>
          </w:p>
        </w:tc>
        <w:tc>
          <w:tcPr>
            <w:tcW w:w="850" w:type="dxa"/>
            <w:vAlign w:val="center"/>
          </w:tcPr>
          <w:p w14:paraId="17BC4304">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p>
        </w:tc>
        <w:tc>
          <w:tcPr>
            <w:tcW w:w="3544" w:type="dxa"/>
          </w:tcPr>
          <w:p w14:paraId="2C63BFF4">
            <w:pP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按照采购人安排完成学员、来宾、教职工及重要活动的校内接驳保障任务，确保行驶安全、服务规范。</w:t>
            </w:r>
          </w:p>
        </w:tc>
        <w:tc>
          <w:tcPr>
            <w:tcW w:w="4835" w:type="dxa"/>
          </w:tcPr>
          <w:p w14:paraId="09C7C2C5">
            <w:pP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具备特种设备安全管理和作业人员资格（N2）和驾驶证（C1）。另需培训≥5名兼职电动观光车驾驶员，能应对各类保障需要。</w:t>
            </w:r>
          </w:p>
        </w:tc>
      </w:tr>
      <w:tr w14:paraId="7B99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22D88B16">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电教主管</w:t>
            </w:r>
          </w:p>
        </w:tc>
        <w:tc>
          <w:tcPr>
            <w:tcW w:w="850" w:type="dxa"/>
            <w:vAlign w:val="center"/>
          </w:tcPr>
          <w:p w14:paraId="685C8A01">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w:t>
            </w:r>
          </w:p>
        </w:tc>
        <w:tc>
          <w:tcPr>
            <w:tcW w:w="3544" w:type="dxa"/>
          </w:tcPr>
          <w:p w14:paraId="41273F5A">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制定内部管理制度与日常工作计划，信息化系统及设备（包括多媒体设备、网络设备、安防设备、门禁道闸、考勤系统、消费系统、机房及弱电间设备等）统筹、人员安排及技术保障，监督运维并对接各类活动电教需求。</w:t>
            </w:r>
          </w:p>
        </w:tc>
        <w:tc>
          <w:tcPr>
            <w:tcW w:w="4835" w:type="dxa"/>
          </w:tcPr>
          <w:p w14:paraId="19B62442">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具备信息化及电教工作的整体统筹能力，能制定并持续完善内部管理制度（含设备管理、巡检维护、故障报修、机房安全、人员值班等制度）与年度、月度、周度日常工作计划，做到任务明确、责任到人、节点清晰。熟悉所辖全部信息化系统及设备的运行原理、系统架构、工作流程与技术细节，覆盖多媒体设备、网络设备、安防设备、门禁道闸、考勤系统、消费系统、机房及弱电间设备等各类软硬件，能对整体系统布局、链路关系、技术状态做到心中有数。掌握必要的故障处置技术能力，能对一线检修人员提供技术指导，对重大、疑难故障能判断处理方向，组织或协调厂家工程师及时解决。能主动对接教学、培训、会议、汇报等各类活动的电教需求，做好需求受理、方案制定、设备与人员安排、现场保障及复盘改进的全流程管理。责任心强、作风严谨，工作主动，能以身作则带领团队落实各项保障任务；具备安全管理意识，监督落实用电安全、设备操作安全、机房与弱电间管理规范，防范各类安全风险。</w:t>
            </w:r>
          </w:p>
        </w:tc>
      </w:tr>
      <w:tr w14:paraId="2861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527B657E">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信息化设备检修员</w:t>
            </w:r>
          </w:p>
        </w:tc>
        <w:tc>
          <w:tcPr>
            <w:tcW w:w="850" w:type="dxa"/>
            <w:vAlign w:val="center"/>
          </w:tcPr>
          <w:p w14:paraId="62F169C3">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2（其中1人为场馆信息化设备检修员）</w:t>
            </w:r>
          </w:p>
        </w:tc>
        <w:tc>
          <w:tcPr>
            <w:tcW w:w="3544" w:type="dxa"/>
          </w:tcPr>
          <w:p w14:paraId="6273599F">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信息化设备（包括多媒体设备、网络设备、安防设备、门禁道闸、考勤系统、消费系统、机房及弱电间设备等）日常巡检、故障排查与维修保养，建立维护台账，处理线路及硬件问题，保障设备正常运行并管理维修耗材，及重要活动现场保障。根据实际工作需求，设备故障应在指定时间内修复。</w:t>
            </w:r>
          </w:p>
        </w:tc>
        <w:tc>
          <w:tcPr>
            <w:tcW w:w="4835" w:type="dxa"/>
          </w:tcPr>
          <w:p w14:paraId="7E42054B">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掌握常用信息化设备的运行原理与技术细节，包括但不限于：多媒体教学一体机、投影仪与激光投影、LED 显示屏及拼接屏、中控系统、音视频矩阵与切换设备、扩声系统（功放、调音台、话筒、音箱）、录播系统、网络设备（交换机、路由器、无线 AP）、监控系统及机房配套设备等。熟悉校内信息化系统、设备的工作流程与操作规范，掌握设备从开机自检、运行使用到关机维护的全过程管理。具备独立分析故障现象、准确定位故障点的能力，能区分硬件故障、软件故障、链路故障与人为操作失误，判断故障成因。对常见简单故障能独立完成修复，并做好修复记录，对超出自身处理范围的复杂故障，能准确描述故障现象、整理现场信息，及时报修并配合厂家工程师远程或现场完成修复。具体备电教设备操作与保障能力。具备良好的安全意识，严格执行用电安全、设备操作安全及机房管理规范，能识别并防范常见安全隐患；具备较强的学习能力与责任心，能持续跟踪信息化设备技术更新，服从工作安排，与服务对象及厂家人员保持良好沟通协作。</w:t>
            </w:r>
          </w:p>
          <w:p w14:paraId="45D21AF6">
            <w:pPr>
              <w:rPr>
                <w:rFonts w:hint="eastAsia" w:ascii="宋体" w:hAnsi="宋体" w:eastAsia="宋体"/>
                <w:color w:val="000000" w:themeColor="text1"/>
                <w:szCs w:val="21"/>
                <w14:textFill>
                  <w14:solidFill>
                    <w14:schemeClr w14:val="tx1"/>
                  </w14:solidFill>
                </w14:textFill>
              </w:rPr>
            </w:pPr>
          </w:p>
        </w:tc>
      </w:tr>
      <w:tr w14:paraId="2A28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332E9FA6">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电教设备操作员</w:t>
            </w:r>
          </w:p>
        </w:tc>
        <w:tc>
          <w:tcPr>
            <w:tcW w:w="850" w:type="dxa"/>
            <w:vAlign w:val="center"/>
          </w:tcPr>
          <w:p w14:paraId="1EAF817E">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3</w:t>
            </w:r>
          </w:p>
        </w:tc>
        <w:tc>
          <w:tcPr>
            <w:tcW w:w="3544" w:type="dxa"/>
          </w:tcPr>
          <w:p w14:paraId="4E077E9D">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负责教学、会议等活动现场电教设备操作调试，做好设备开关机与使用登记，协助处理简单故障，完成录播及资源归档工作。</w:t>
            </w:r>
          </w:p>
        </w:tc>
        <w:tc>
          <w:tcPr>
            <w:tcW w:w="4835" w:type="dxa"/>
          </w:tcPr>
          <w:p w14:paraId="10911D96">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具备电教设备基本操作技能，能独立完成多媒体教室、报告厅、会议室等场所电教设备的开关机操作、日常调试与使用指导。能按工作安排参与教学、培训、会议、汇报等活动的电教保障工作，做到会前设备检查调试、会中现场值守与应急处置、会后设备恢复与状态确认。熟悉常见活动保障流程，能在突发设备异常时快速采取临时处置措施（如切换备用线路、备用设备），确保活动不中断。</w:t>
            </w:r>
          </w:p>
        </w:tc>
      </w:tr>
      <w:tr w14:paraId="4DE8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7884284E">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室外卫生 绿化保洁组</w:t>
            </w:r>
            <w:r>
              <w:rPr>
                <w:rFonts w:ascii="宋体" w:hAnsi="宋体" w:eastAsia="宋体"/>
                <w:color w:val="000000" w:themeColor="text1"/>
                <w:szCs w:val="21"/>
                <w14:textFill>
                  <w14:solidFill>
                    <w14:schemeClr w14:val="tx1"/>
                  </w14:solidFill>
                </w14:textFill>
              </w:rPr>
              <w:t>主管</w:t>
            </w:r>
          </w:p>
        </w:tc>
        <w:tc>
          <w:tcPr>
            <w:tcW w:w="850" w:type="dxa"/>
            <w:vAlign w:val="center"/>
          </w:tcPr>
          <w:p w14:paraId="010B24D6">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p>
        </w:tc>
        <w:tc>
          <w:tcPr>
            <w:tcW w:w="3544" w:type="dxa"/>
          </w:tcPr>
          <w:p w14:paraId="2390D9D2">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负责绿化养护、景观花更换、</w:t>
            </w:r>
            <w:r>
              <w:rPr>
                <w:rFonts w:hint="eastAsia" w:ascii="宋体" w:hAnsi="宋体" w:eastAsia="宋体"/>
                <w:color w:val="000000" w:themeColor="text1"/>
                <w:szCs w:val="21"/>
                <w14:textFill>
                  <w14:solidFill>
                    <w14:schemeClr w14:val="tx1"/>
                  </w14:solidFill>
                </w14:textFill>
              </w:rPr>
              <w:t>莲花</w:t>
            </w:r>
            <w:r>
              <w:rPr>
                <w:rFonts w:ascii="宋体" w:hAnsi="宋体" w:eastAsia="宋体"/>
                <w:color w:val="000000" w:themeColor="text1"/>
                <w:szCs w:val="21"/>
                <w14:textFill>
                  <w14:solidFill>
                    <w14:schemeClr w14:val="tx1"/>
                  </w14:solidFill>
                </w14:textFill>
              </w:rPr>
              <w:t>池及相关水景养护、工具材料、肥料药剂、病虫害防治、防台防汛、养护计划和养护台账管理。</w:t>
            </w:r>
          </w:p>
        </w:tc>
        <w:tc>
          <w:tcPr>
            <w:tcW w:w="4835" w:type="dxa"/>
          </w:tcPr>
          <w:p w14:paraId="070109FC">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具备绿化养护、园林景观或类似项目现场管理经验，熟悉植物养护、病虫害防治、</w:t>
            </w:r>
            <w:r>
              <w:rPr>
                <w:rFonts w:hint="eastAsia" w:ascii="宋体" w:hAnsi="宋体" w:eastAsia="宋体"/>
                <w:color w:val="000000" w:themeColor="text1"/>
                <w:szCs w:val="21"/>
                <w14:textFill>
                  <w14:solidFill>
                    <w14:schemeClr w14:val="tx1"/>
                  </w14:solidFill>
                </w14:textFill>
              </w:rPr>
              <w:t>莲花</w:t>
            </w:r>
            <w:r>
              <w:rPr>
                <w:rFonts w:ascii="宋体" w:hAnsi="宋体" w:eastAsia="宋体"/>
                <w:color w:val="000000" w:themeColor="text1"/>
                <w:szCs w:val="21"/>
                <w14:textFill>
                  <w14:solidFill>
                    <w14:schemeClr w14:val="tx1"/>
                  </w14:solidFill>
                </w14:textFill>
              </w:rPr>
              <w:t>池及相关水景水质维护和防台防汛应急保障要求。</w:t>
            </w:r>
          </w:p>
        </w:tc>
      </w:tr>
      <w:tr w14:paraId="0C02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9" w:type="dxa"/>
            <w:vAlign w:val="center"/>
          </w:tcPr>
          <w:p w14:paraId="76F8F776">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室外卫生 绿化保洁组</w:t>
            </w:r>
            <w:r>
              <w:rPr>
                <w:rFonts w:ascii="宋体" w:hAnsi="宋体" w:eastAsia="宋体"/>
                <w:color w:val="000000" w:themeColor="text1"/>
                <w:szCs w:val="21"/>
                <w14:textFill>
                  <w14:solidFill>
                    <w14:schemeClr w14:val="tx1"/>
                  </w14:solidFill>
                </w14:textFill>
              </w:rPr>
              <w:t>人员</w:t>
            </w:r>
          </w:p>
        </w:tc>
        <w:tc>
          <w:tcPr>
            <w:tcW w:w="850" w:type="dxa"/>
            <w:vAlign w:val="center"/>
          </w:tcPr>
          <w:p w14:paraId="483A668C">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w:t>
            </w:r>
          </w:p>
        </w:tc>
        <w:tc>
          <w:tcPr>
            <w:tcW w:w="3544" w:type="dxa"/>
          </w:tcPr>
          <w:p w14:paraId="037CEC4B">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负责校区绿化浇灌、施肥、修剪、除草、病虫害防治、补植补种、垃圾清运、</w:t>
            </w:r>
            <w:r>
              <w:rPr>
                <w:rFonts w:hint="eastAsia" w:ascii="宋体" w:hAnsi="宋体" w:eastAsia="宋体"/>
                <w:color w:val="000000" w:themeColor="text1"/>
                <w:szCs w:val="21"/>
                <w14:textFill>
                  <w14:solidFill>
                    <w14:schemeClr w14:val="tx1"/>
                  </w14:solidFill>
                </w14:textFill>
              </w:rPr>
              <w:t>莲花</w:t>
            </w:r>
            <w:r>
              <w:rPr>
                <w:rFonts w:ascii="宋体" w:hAnsi="宋体" w:eastAsia="宋体"/>
                <w:color w:val="000000" w:themeColor="text1"/>
                <w:szCs w:val="21"/>
                <w14:textFill>
                  <w14:solidFill>
                    <w14:schemeClr w14:val="tx1"/>
                  </w14:solidFill>
                </w14:textFill>
              </w:rPr>
              <w:t>池及相关水景保洁、水景生物投喂及相关养护作业。</w:t>
            </w:r>
          </w:p>
        </w:tc>
        <w:tc>
          <w:tcPr>
            <w:tcW w:w="4835" w:type="dxa"/>
          </w:tcPr>
          <w:p w14:paraId="6A81AE25">
            <w:pP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应具备与绿化养护、园林作业、植物养护或</w:t>
            </w:r>
            <w:r>
              <w:rPr>
                <w:rFonts w:hint="eastAsia" w:ascii="宋体" w:hAnsi="宋体" w:eastAsia="宋体"/>
                <w:color w:val="000000" w:themeColor="text1"/>
                <w:szCs w:val="21"/>
                <w14:textFill>
                  <w14:solidFill>
                    <w14:schemeClr w14:val="tx1"/>
                  </w14:solidFill>
                </w14:textFill>
              </w:rPr>
              <w:t>莲花</w:t>
            </w:r>
            <w:r>
              <w:rPr>
                <w:rFonts w:ascii="宋体" w:hAnsi="宋体" w:eastAsia="宋体"/>
                <w:color w:val="000000" w:themeColor="text1"/>
                <w:szCs w:val="21"/>
                <w14:textFill>
                  <w14:solidFill>
                    <w14:schemeClr w14:val="tx1"/>
                  </w14:solidFill>
                </w14:textFill>
              </w:rPr>
              <w:t>池及相关水景养护相适应的实操能力；涉及喷药、机械作业等应接受安全培训并按规范作业。</w:t>
            </w:r>
          </w:p>
        </w:tc>
      </w:tr>
      <w:bookmarkEnd w:id="1"/>
    </w:tbl>
    <w:p w14:paraId="5C6A9B0D">
      <w:pPr>
        <w:pStyle w:val="11"/>
        <w:spacing w:beforeAutospacing="0" w:afterAutospacing="0" w:line="480" w:lineRule="exact"/>
        <w:rPr>
          <w:rFonts w:hint="eastAsia" w:asciiTheme="minorEastAsia" w:hAnsiTheme="minorEastAsia" w:cstheme="minorEastAsia"/>
          <w:color w:val="000000" w:themeColor="text1"/>
          <w:shd w:val="clear" w:color="auto" w:fill="FFFFFF"/>
          <w14:textFill>
            <w14:solidFill>
              <w14:schemeClr w14:val="tx1"/>
            </w14:solidFill>
          </w14:textFill>
        </w:rPr>
      </w:pPr>
    </w:p>
    <w:p w14:paraId="00CB1712">
      <w:pPr>
        <w:pStyle w:val="4"/>
        <w:shd w:val="clear" w:color="auto" w:fill="FFFFFF"/>
        <w:spacing w:beforeAutospacing="0" w:afterAutospacing="0" w:line="480" w:lineRule="atLeast"/>
        <w:rPr>
          <w:rFonts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shd w:val="clear" w:color="auto" w:fill="FFFFFF"/>
          <w14:textFill>
            <w14:solidFill>
              <w14:schemeClr w14:val="tx1"/>
            </w14:solidFill>
          </w14:textFill>
        </w:rPr>
        <w:t>三、商务条件</w:t>
      </w:r>
    </w:p>
    <w:p w14:paraId="0A40BCBF">
      <w:pPr>
        <w:pStyle w:val="11"/>
        <w:spacing w:beforeAutospacing="0" w:afterAutospacing="0" w:line="480" w:lineRule="atLeast"/>
        <w:ind w:firstLine="42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采购包1：</w:t>
      </w:r>
    </w:p>
    <w:tbl>
      <w:tblPr>
        <w:tblStyle w:val="13"/>
        <w:tblW w:w="9878"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985"/>
        <w:gridCol w:w="988"/>
        <w:gridCol w:w="1482"/>
        <w:gridCol w:w="6423"/>
      </w:tblGrid>
      <w:tr w14:paraId="7065FC1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8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095AF7F">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序号</w:t>
            </w:r>
          </w:p>
        </w:tc>
        <w:tc>
          <w:tcPr>
            <w:tcW w:w="98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97A84C0">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参数性质</w:t>
            </w:r>
          </w:p>
        </w:tc>
        <w:tc>
          <w:tcPr>
            <w:tcW w:w="1482"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C43814F">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类型</w:t>
            </w:r>
          </w:p>
        </w:tc>
        <w:tc>
          <w:tcPr>
            <w:tcW w:w="642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4C47915">
            <w:pPr>
              <w:spacing w:line="480" w:lineRule="atLeast"/>
              <w:jc w:val="left"/>
              <w:rPr>
                <w:rFonts w:hint="eastAsia"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要求</w:t>
            </w:r>
          </w:p>
        </w:tc>
      </w:tr>
      <w:tr w14:paraId="4596108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385A414">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1</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8F447F2">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w:t>
            </w:r>
          </w:p>
        </w:tc>
        <w:tc>
          <w:tcPr>
            <w:tcW w:w="148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78B6A1">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交货时间</w:t>
            </w:r>
          </w:p>
        </w:tc>
        <w:tc>
          <w:tcPr>
            <w:tcW w:w="64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802FC4F">
            <w:pPr>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自合同签订之日起1096日。</w:t>
            </w:r>
          </w:p>
        </w:tc>
      </w:tr>
      <w:tr w14:paraId="4B37EEA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905F7B8">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2</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4FD2967">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w:t>
            </w:r>
          </w:p>
        </w:tc>
        <w:tc>
          <w:tcPr>
            <w:tcW w:w="148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F2A5345">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交货地点</w:t>
            </w:r>
          </w:p>
        </w:tc>
        <w:tc>
          <w:tcPr>
            <w:tcW w:w="64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C96BC2">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采购人指定地点。</w:t>
            </w:r>
          </w:p>
        </w:tc>
      </w:tr>
      <w:tr w14:paraId="3E8CDE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BCC7722">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3</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E0318BD">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w:t>
            </w:r>
          </w:p>
        </w:tc>
        <w:tc>
          <w:tcPr>
            <w:tcW w:w="148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7D8C5C7">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交货条件</w:t>
            </w:r>
          </w:p>
        </w:tc>
        <w:tc>
          <w:tcPr>
            <w:tcW w:w="64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2284932">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按合同约定通过采购人验收。</w:t>
            </w:r>
          </w:p>
        </w:tc>
      </w:tr>
      <w:tr w14:paraId="362379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D353EF7">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4</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EBD6DE9">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w:t>
            </w:r>
          </w:p>
        </w:tc>
        <w:tc>
          <w:tcPr>
            <w:tcW w:w="148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42E57DE">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是否邀请投标人验收</w:t>
            </w:r>
          </w:p>
        </w:tc>
        <w:tc>
          <w:tcPr>
            <w:tcW w:w="64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0ED996C">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不邀请投标人验收</w:t>
            </w:r>
          </w:p>
        </w:tc>
      </w:tr>
      <w:tr w14:paraId="159B625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89" w:hRule="atLeast"/>
        </w:trPr>
        <w:tc>
          <w:tcPr>
            <w:tcW w:w="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9F66FD2">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5</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2C77B9">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w:t>
            </w:r>
          </w:p>
        </w:tc>
        <w:tc>
          <w:tcPr>
            <w:tcW w:w="148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AF9C309">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履约验收方式</w:t>
            </w:r>
          </w:p>
        </w:tc>
        <w:tc>
          <w:tcPr>
            <w:tcW w:w="64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ABBE70A">
            <w:pPr>
              <w:pStyle w:val="11"/>
              <w:spacing w:beforeAutospacing="0" w:afterAutospacing="0" w:line="480" w:lineRule="atLeast"/>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1、期次1，说明：按磋商文件、成交人的响应文件及采购合同要求经采购人验收合格。</w:t>
            </w:r>
          </w:p>
        </w:tc>
      </w:tr>
      <w:tr w14:paraId="0C452B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519942E">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6</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1566EFE">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w:t>
            </w:r>
          </w:p>
        </w:tc>
        <w:tc>
          <w:tcPr>
            <w:tcW w:w="148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BECEEA6">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合同支付方式</w:t>
            </w:r>
          </w:p>
        </w:tc>
        <w:tc>
          <w:tcPr>
            <w:tcW w:w="64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B8C311E">
            <w:pPr>
              <w:pStyle w:val="11"/>
              <w:spacing w:beforeAutospacing="0" w:afterAutospacing="0" w:line="480" w:lineRule="atLeast"/>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1、进度款，（此为系统固定格式，合同支付方式以序号8“其他”为准）按月支付，达到付款条件起30日内，支付合同总金额的100.00%。</w:t>
            </w:r>
          </w:p>
        </w:tc>
      </w:tr>
      <w:tr w14:paraId="4E97537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4A00B81">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7</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AE626F6">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w:t>
            </w:r>
          </w:p>
        </w:tc>
        <w:tc>
          <w:tcPr>
            <w:tcW w:w="148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A716FB5">
            <w:pPr>
              <w:spacing w:line="480" w:lineRule="atLeast"/>
              <w:jc w:val="center"/>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履约保证金</w:t>
            </w:r>
          </w:p>
        </w:tc>
        <w:tc>
          <w:tcPr>
            <w:tcW w:w="64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CD7190B">
            <w:pPr>
              <w:pStyle w:val="11"/>
              <w:spacing w:beforeAutospacing="0" w:afterAutospacing="0" w:line="480" w:lineRule="atLeast"/>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不缴纳</w:t>
            </w:r>
          </w:p>
          <w:p w14:paraId="22E88DDE">
            <w:pPr>
              <w:pStyle w:val="11"/>
              <w:spacing w:beforeAutospacing="0" w:afterAutospacing="0" w:line="480" w:lineRule="atLeast"/>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缴纳方式：无</w:t>
            </w:r>
          </w:p>
        </w:tc>
      </w:tr>
      <w:tr w14:paraId="321BA2C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68EF11">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8</w:t>
            </w:r>
          </w:p>
        </w:tc>
        <w:tc>
          <w:tcPr>
            <w:tcW w:w="98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AA830EC">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w:t>
            </w:r>
          </w:p>
        </w:tc>
        <w:tc>
          <w:tcPr>
            <w:tcW w:w="148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169AE17">
            <w:pPr>
              <w:spacing w:line="480" w:lineRule="atLeast"/>
              <w:jc w:val="center"/>
              <w:rPr>
                <w:rFonts w:hint="eastAsia"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其他</w:t>
            </w:r>
          </w:p>
        </w:tc>
        <w:tc>
          <w:tcPr>
            <w:tcW w:w="64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E4898D3">
            <w:pPr>
              <w:pStyle w:val="11"/>
              <w:spacing w:line="480" w:lineRule="atLeast"/>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本表第6项“合同支付方式”内容修改为：合同生效后，本项目服务费用按“固定包干费用+预估工作量对应服务费用”方式支付。其中，固定包干费用按合同年度服务费用的85%计取，预估工作量费用按合同年度服务费用的15%作为额度上限控制。固定包干费用按月支付。采购人在收到成交人合法、有效税务发票及付款申请材料后，于次月15日前先行支付上月固定包干费用的80%；剩余的20%每两个月结合考核结果核拨，具体扣减、核拨方式按合同及考核管理办法执行。预估工作量费用仅作为维修维护、零星修缮、专业维保、材料耗材、重大会议活动保障、非印刷服务、消杀、绿化景观提升等经采购人确认实施事项的费用控制额度。为保障项目正常运行，采购人可预拨</w:t>
            </w:r>
            <w:r>
              <w:rPr>
                <w:rFonts w:asciiTheme="minorEastAsia" w:hAnsiTheme="minorEastAsia" w:cstheme="minorEastAsia"/>
                <w:color w:val="000000" w:themeColor="text1"/>
                <w14:textFill>
                  <w14:solidFill>
                    <w14:schemeClr w14:val="tx1"/>
                  </w14:solidFill>
                </w14:textFill>
              </w:rPr>
              <w:t>合同年度服务费用</w:t>
            </w:r>
            <w:r>
              <w:rPr>
                <w:rFonts w:hint="eastAsia" w:asciiTheme="minorEastAsia" w:hAnsiTheme="minorEastAsia" w:cstheme="minorEastAsia"/>
                <w:color w:val="000000" w:themeColor="text1"/>
                <w14:textFill>
                  <w14:solidFill>
                    <w14:schemeClr w14:val="tx1"/>
                  </w14:solidFill>
                </w14:textFill>
              </w:rPr>
              <w:t>的5%作为预估工作量对应服务费用周转款；该预拨款仅用于本项目经采购人确认的预估工作量事项，不视为采购人对相关事项的最终验收或结算确认。预估工作量对应服务费用实行据实核销。成交人实际完成相关事项后，应按采购人要求提交实施申请、采购人确认材料、验收资料等证明材料，经采购人审核验收合格后予以核销或补足。实际发生并经审核确认的费用超过已预拨金额的，在年度成交金额15%额度范围内据实补付；实际发生费用低于已预拨金额的，差额可在后续应付款项中抵扣或由成交人按采购人要求退回。本磋商文件中关于合同支付方式的表述若有与本条不同的，以本条为准。</w:t>
            </w:r>
          </w:p>
        </w:tc>
      </w:tr>
    </w:tbl>
    <w:p w14:paraId="69409B1C">
      <w:pPr>
        <w:pStyle w:val="11"/>
        <w:shd w:val="clear" w:color="auto" w:fill="FFFFFF"/>
        <w:spacing w:beforeAutospacing="0" w:afterAutospacing="0" w:line="480" w:lineRule="atLeast"/>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hd w:val="clear" w:color="auto" w:fill="FFFFFF"/>
          <w14:textFill>
            <w14:solidFill>
              <w14:schemeClr w14:val="tx1"/>
            </w14:solidFill>
          </w14:textFill>
        </w:rPr>
        <w:t>其他商务要求：</w:t>
      </w:r>
    </w:p>
    <w:p w14:paraId="6E8B73CF">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9、其他要求</w:t>
      </w:r>
    </w:p>
    <w:p w14:paraId="76E6C8F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成交人应按采购文件、响应文件、合同、采购需求附件、采购人管理制度以及经采购人确认的服务方案、作业流程、台账模板、考核办法等履行服务义务。采购人可通过日常检查、专项检查、月度考核、阶段考核、满意度测评、台账抽查、现场验收、审计或第三方审核等方式进行履约管理和验收。</w:t>
      </w:r>
    </w:p>
    <w:p w14:paraId="0EB8231E">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支付及结算：本项目费用支付按照合同约定执行。固定包干费用原则上每月先行支付80%，每两个月结合考核结果核拨剩余20%；具体固定包干费用金额、考核周期、核拨比例和支付条件以合同及考核办法约定为准。预估工作量对应服务费用不属于必然发生费用，仅对成交人实际完成、经采购人确认实施、验收合格并完成费用审核的事项计量计取，可按事项性质按次、按阶段或按采购人审核确认周期据实结算。未实际实施、未经采购人确认、资料不完整、验收不合格或超出费用边界的事项，不予计量计取。项目服务周期内累计结算总金额不得超过本项目成交价。</w:t>
      </w:r>
    </w:p>
    <w:p w14:paraId="4927EDB8">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管理运维经费管理：管理运维经费可根据事项性质分别采取固定包干、按次确认、按实际工作量据实核报、按阶段汇总结算或经采购人审核后计量计取等方式管理。具体分项额度、计量规则、审核材料、结算周期和审批流程，可在合同、采购人管理制度或成交后经采购人确认的实施细则中进一步明确。成交人应建立真实、完整、可追溯的费用台账，不得虚报、重复列支或将采购人另行采购、另行经费承担的事项计入本项目费用，否则采购人有权拒付相关费用，因此造成的损失由成交人自行承担。</w:t>
      </w:r>
    </w:p>
    <w:p w14:paraId="1BD7920C">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财务审核和审计配合：成交人应依法依规并按采购人管理要求接受采购人对本项目人员到岗、工资社保发放、管理运维经费、据实核报事项、物资采购、专业维保、维修修缮、非印刷服务、会议活动保障、消杀绿化等费用支出的定期或不定期财务审核、专项检查、年度审计或第三方审核，因此导致付款延后的，采购人不承担违约责任。成交人应按要求及时、完整提供合同、报价、发票、付款凭证、验收单、维修单、台账、照片、签到记录、考勤记录、物资出入库记录、审价资料等证明材料；拒不配合、逾期提供、提供虚假资料或资料无法佐证实际履约的，采购人有权暂缓支付、核减费用、纳入考核扣分并追究违约责任。</w:t>
      </w:r>
    </w:p>
    <w:p w14:paraId="380AA6E8">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9.5人员补齐、调整及服务替代保障：成交人应按采购文件、响应文件、合同要求配足服务人员，保证总人数配置不低于188人。项目负责人、主管及以上人员等重要岗位人员、特殊资质岗位人员以及直接面向学员、教职工和来宾的形象岗人员，应经采购人审核或备案后上岗。对不符合岗位要求、履约能力不足、服务态度较差、不能胜任本职工作、未按要求持证、存在兼职混岗或被采购人认定不适宜继续履职的人员，采购人有权要求供应商在采购人限定的合理期限内完成补齐、调整或撤换。对成交人未按采购文件、响应文件、合同、采购需求附件或采购人确认的服务方案履行相关服务，且经采购人通知后未在限定期限内整改到位，可能影响教学培训、会议活动、住宿餐饮、安全运行、设备设施正常使用或校园公共秩序的，采购人有权采取必要的临时替代保障措施，包括但不限于临时聘请人员、另行委托第三方服务、采购必要物资或组织应急维修维护等。由此产生的合理费用、损失及管理成本，可从供应商应收服务款、预估工作量对应服务费用或履约保证金中扣除；不足部分，采购人有权向供应商追偿。上述措施不免除成交人继续履约、整改和承担违约责任。成交人因履行本项目所产生的一切劳务或劳动纠纷等，均由成交人自行负责，与采购人无关。</w:t>
      </w:r>
    </w:p>
    <w:p w14:paraId="0BB1F63D">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9.6岗位管理和禁止混岗：成交人所有驻点人员应按经采购人确认的组织架构、岗位职责和排班安排履职，不得以同一人员重复计入多个岗位，不得以混岗、串岗、兼岗方式减少人员配置或降低服务标准。确因突发事件、重大活动、应急抢险等需要临时协同支援的，应服从采购人调度，但不得影响原岗位基本履职；涉及依法需持证作业、特殊资质或专业能力的岗位，应由符合条件的人员承担。</w:t>
      </w:r>
    </w:p>
    <w:p w14:paraId="45404179">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10、违约责任</w:t>
      </w:r>
    </w:p>
    <w:p w14:paraId="4D1CAB7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成交人未按采购文件、响应文件、合同、采购需求附件、经采购人确认的服务方案和作业流程履约的，采购人有权要求成交人限期整改；成交人逾期未整改、整改不到位或同类问题重复发生的，采购人有权根据合同、考核管理办法及实际影响扣减服务费、采取替代保障措施、要求赔偿损失，直至解除合同；如采购人要求解除合同的，成交人应当向采购人支付项目整体成交总价的10%作为违约金。</w:t>
      </w:r>
    </w:p>
    <w:p w14:paraId="5FEA5B9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成交人人员存在迟到、早退、脱岗、睡岗、串岗、混岗、擅自离岗、未按排班到岗履职，或者未按采购人要求配足人员、重要岗位人员和特殊资质岗位人员资格能力不符合要求、未经采购人同意擅自更换人员、兼职混岗或重复计人等情形的，采购人有权要求立即整改、限期补齐或撤换；逾期未完成或整改不到位的，采购人有权将相关情形纳入考核负面清单，并按合同及考核管理办法扣减服务费，如相关考核办法未约定的，采购人有权按照5000元/次的标准计算违约金；采购人因此采取临时聘请人员、另行委托服务等替代保障措施的，相关合理费用由成交人承担。</w:t>
      </w:r>
    </w:p>
    <w:p w14:paraId="3CC81FD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成交人对采购人报修、投诉、服务需求、临时交办事项、突发事件或应急保障任务响应不及时、处置不到位，或者各项服务质量不达标、经采购人通知后未及时整改、整改不到位或同类问题重复发生的，采购人有权要求立即整改，并有权根据合同、考核管理办法及实际影响扣除年管理运维经费合同金额中的相关款项，如无法明确相关款项的，采购人有权按照5000元/次的标准要求成交人支付违约金；造成采购人或第三方损失的，成交人应继续承担赔偿责任。。</w:t>
      </w:r>
    </w:p>
    <w:p w14:paraId="64799A1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成交人未按要求建立、提交或保存考勤记录、工作日志、巡查记录、维修记录、维保记录、费用台账、物资出入库记录、审计资料、验收资料等，或者存在虚假记录、虚假报销、重复列支、拒不配合财务审核、专项检查、年度审计或第三方审核等情形的，采购人有权要求立即整改，并有权根据合同、考核管理办法及实际影响扣除相关款项，如无法明确相关款项的，采购人有权按照5000元/次的标准要求成交人支付违约金；涉及虚报费用的，采购人有权核减相关费用、追回已支付款项，并按照虚报费用的三倍在待付给成交人的费用中作扣减，并追究供应商违约责任和赔偿责任。</w:t>
      </w:r>
    </w:p>
    <w:p w14:paraId="532A4D91">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10.5因成交人管理原因（不可抗力因素除外）或人为因素造成重大安全、食品卫生、建设工程质量等责任事故、群体事件等，或成交人违反本项目磋商文件要求、响应文件承诺、合同约定或采购人管理要求等原因，或严重影响采购人工作和声誉形象，又或者导致采购为避险、防止损失扩大、重新组织采购、被第三方追责产生赔偿或补偿等一切重大损失的，采购人除有权直接按照最高扣除成交人项目整体成交总价的30%作为违约金外，采购人还有权终止合同，违约金不足以弥补采购人的损失的，由成交人继续负责赔偿。</w:t>
      </w:r>
    </w:p>
    <w:p w14:paraId="18EE9AA1">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10.6成交人未经采购人同意擅自转包、违法分包，或者将必须由具备相应资质、许可或专业能力的单位实施的事项委托给不具备相应条件的主体实施的，采购人有权要求立即整改，并有权根据合同、考核管理办法及实际影响扣减服务费；情节严重、拒不整改或影响项目正常履约的，采购人有权解除合同，成交人应当向采购人支付项目整体成交总价的30%作为违约金，并要求成交人赔偿损失。</w:t>
      </w:r>
    </w:p>
    <w:p w14:paraId="14AEDBFF">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10.7成交人月度、阶段或专项考核结果未达到采购人要求的，按照合同及考核管理办法扣减相应服务费用。考核管理办法作为本项目履约管理、费用扣减和服务改进的重要依据，采购人可根据实际管理需要依法依规对考核管理办法进行细化、补充或修订，经采购人内部程序确认后执行。</w:t>
      </w:r>
    </w:p>
    <w:p w14:paraId="133A806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10.8因成交人违约或其他成交人原因，给采购人造成直接或间接损失的，成交人应承担赔偿责任（包括但不限于诉讼费、律师费、保全费、取证费、检验费、鉴定费、公证费以及为消除影响而支出的合理费用等）。</w:t>
      </w:r>
    </w:p>
    <w:p w14:paraId="465BF2AA">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10.9在明确违约责任后，成交人应在收到采购人书面通知书之日起七日内支付违约金、赔偿金等。</w:t>
      </w:r>
    </w:p>
    <w:p w14:paraId="50792D09">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10.10同一违约行为同时符合本条多项约定的，采购人可按较重情形处理；考核扣分、服务费扣减、管理运维经费扣除、替代保障费用扣除、损失赔偿和解除合同等措施可以根据合同和考核办法并行适用。采购人扣减服务费、扣除管理运维经费或采取替代保障措施的，不免除成交人继续履约、整改和赔偿损失的责任。</w:t>
      </w:r>
    </w:p>
    <w:p w14:paraId="53C1A4D6">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10.11下列情况属于不可抗力因素，采购人、成交人双方可根据法律法规和合同约定处理，依法不承担相应违约责任：</w:t>
      </w:r>
    </w:p>
    <w:p w14:paraId="46DD752B">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战争；水灾、风灾、地震、自然引起的火灾等自然灾害；</w:t>
      </w:r>
    </w:p>
    <w:p w14:paraId="38E4BAC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国家法令强制停业；</w:t>
      </w:r>
    </w:p>
    <w:p w14:paraId="39DE3B10">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市级以上党委政府机关政策、指令等；</w:t>
      </w:r>
    </w:p>
    <w:p w14:paraId="1D8C955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上述不可抗力原因导致合同目的无法实现或合同无法继续履行的，采购人、成交人双方可以协商终止合同，并按法律法规及合同约定办理后续事项。不可抗力发生后，成交人需第一时间书面报备采购人，并提供有效佐证材料，逾期报备、无有效证明的，不得认定为不可抗力，仍需承担全部违约责任。</w:t>
      </w:r>
    </w:p>
    <w:p w14:paraId="35497A0E">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10.12安全、保密和廉洁要求：成交人应加强劳动用工、消防、食品、交通、治安、职业健康、安全生产、保密和廉洁管理，依法承担其工作人员工伤、死亡、治安、犯罪、交通、防火、劳资纠纷等事件产生的经济和法律责任。成交人及其人员不得泄露国家秘密、工作秘密、学员信息、会议活动内容、内部设施情况及其他不宜公开的信息，不得擅自占用、改变采购人公共设施用途，不得在服务区域内开展与本项目无关的活动。</w:t>
      </w:r>
    </w:p>
    <w:p w14:paraId="5EDC29F3">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10.13未尽事宜：本章商务条件与采购文件其他章节、合同及采购人管理制度不一致的，以依法签订的合同及采购文件最终约定为准。未尽事宜由采购人与成交人按照法律法规、采购文件、合同及采购人相关管理规定协商处理。</w:t>
      </w:r>
    </w:p>
    <w:p w14:paraId="3F42385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p>
    <w:p w14:paraId="6A77BB51">
      <w:pPr>
        <w:rPr>
          <w:rFonts w:hint="eastAsia" w:asciiTheme="minorEastAsia" w:hAnsiTheme="minorEastAsia" w:cstheme="minorEastAsia"/>
          <w:b/>
          <w:bCs/>
          <w:color w:val="000000" w:themeColor="text1"/>
          <w:sz w:val="39"/>
          <w:szCs w:val="39"/>
          <w:shd w:val="clear" w:color="auto" w:fill="FFFFFF"/>
          <w14:textFill>
            <w14:solidFill>
              <w14:schemeClr w14:val="tx1"/>
            </w14:solidFill>
          </w14:textFill>
        </w:rPr>
      </w:pPr>
    </w:p>
    <w:sectPr>
      <w:footerReference r:id="rId5" w:type="default"/>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44B24">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6B3C4A">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406B3C4A">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61D"/>
    <w:rsid w:val="00016254"/>
    <w:rsid w:val="000560AA"/>
    <w:rsid w:val="000C46A4"/>
    <w:rsid w:val="000E4CDD"/>
    <w:rsid w:val="00131AF1"/>
    <w:rsid w:val="0016272B"/>
    <w:rsid w:val="001A182D"/>
    <w:rsid w:val="001B3F36"/>
    <w:rsid w:val="001B512C"/>
    <w:rsid w:val="001C5B40"/>
    <w:rsid w:val="001C5CCF"/>
    <w:rsid w:val="001E04D1"/>
    <w:rsid w:val="001E7FA5"/>
    <w:rsid w:val="00225608"/>
    <w:rsid w:val="002268BB"/>
    <w:rsid w:val="002773E2"/>
    <w:rsid w:val="00281F8D"/>
    <w:rsid w:val="002958C2"/>
    <w:rsid w:val="002A6E23"/>
    <w:rsid w:val="002D6C22"/>
    <w:rsid w:val="003227EF"/>
    <w:rsid w:val="00325680"/>
    <w:rsid w:val="003352B2"/>
    <w:rsid w:val="003370CD"/>
    <w:rsid w:val="00340B3C"/>
    <w:rsid w:val="00341131"/>
    <w:rsid w:val="0035446B"/>
    <w:rsid w:val="00362119"/>
    <w:rsid w:val="0038553B"/>
    <w:rsid w:val="003B798A"/>
    <w:rsid w:val="003D38E7"/>
    <w:rsid w:val="00410079"/>
    <w:rsid w:val="004267E6"/>
    <w:rsid w:val="00445315"/>
    <w:rsid w:val="00462C3E"/>
    <w:rsid w:val="004A723F"/>
    <w:rsid w:val="00504377"/>
    <w:rsid w:val="00517E44"/>
    <w:rsid w:val="00561CF2"/>
    <w:rsid w:val="00574230"/>
    <w:rsid w:val="005E282F"/>
    <w:rsid w:val="005F079B"/>
    <w:rsid w:val="005F5D4A"/>
    <w:rsid w:val="00651FE9"/>
    <w:rsid w:val="0066169F"/>
    <w:rsid w:val="006674E8"/>
    <w:rsid w:val="00671A60"/>
    <w:rsid w:val="00684D79"/>
    <w:rsid w:val="00696D61"/>
    <w:rsid w:val="006D1B4C"/>
    <w:rsid w:val="006D461D"/>
    <w:rsid w:val="006E367E"/>
    <w:rsid w:val="00705D1C"/>
    <w:rsid w:val="00743226"/>
    <w:rsid w:val="00753DFA"/>
    <w:rsid w:val="007869CA"/>
    <w:rsid w:val="00791E71"/>
    <w:rsid w:val="007A14C8"/>
    <w:rsid w:val="007B2E28"/>
    <w:rsid w:val="007E79D5"/>
    <w:rsid w:val="00800FDA"/>
    <w:rsid w:val="00862F88"/>
    <w:rsid w:val="00884F9F"/>
    <w:rsid w:val="0089418B"/>
    <w:rsid w:val="008974C3"/>
    <w:rsid w:val="008A61BE"/>
    <w:rsid w:val="008C26AC"/>
    <w:rsid w:val="008E34B9"/>
    <w:rsid w:val="008E5ACA"/>
    <w:rsid w:val="009805F6"/>
    <w:rsid w:val="00982E65"/>
    <w:rsid w:val="009B5523"/>
    <w:rsid w:val="009D3DFE"/>
    <w:rsid w:val="009D7360"/>
    <w:rsid w:val="009E217E"/>
    <w:rsid w:val="009F5EF5"/>
    <w:rsid w:val="00A06F3A"/>
    <w:rsid w:val="00A1041C"/>
    <w:rsid w:val="00A70648"/>
    <w:rsid w:val="00A70B2F"/>
    <w:rsid w:val="00A82EBE"/>
    <w:rsid w:val="00A959DD"/>
    <w:rsid w:val="00AA1BD0"/>
    <w:rsid w:val="00AD6CE0"/>
    <w:rsid w:val="00AE70D6"/>
    <w:rsid w:val="00AF3C8A"/>
    <w:rsid w:val="00B97786"/>
    <w:rsid w:val="00BA38DC"/>
    <w:rsid w:val="00BA7BF4"/>
    <w:rsid w:val="00C32EEB"/>
    <w:rsid w:val="00C4404D"/>
    <w:rsid w:val="00C84E9C"/>
    <w:rsid w:val="00CA649F"/>
    <w:rsid w:val="00CB0CFB"/>
    <w:rsid w:val="00CF35CC"/>
    <w:rsid w:val="00D174F6"/>
    <w:rsid w:val="00D60506"/>
    <w:rsid w:val="00D7017F"/>
    <w:rsid w:val="00DB1F49"/>
    <w:rsid w:val="00DB7E2F"/>
    <w:rsid w:val="00DE7C9D"/>
    <w:rsid w:val="00DF7D23"/>
    <w:rsid w:val="00E21BA2"/>
    <w:rsid w:val="00E27EAE"/>
    <w:rsid w:val="00E34912"/>
    <w:rsid w:val="00EA57EB"/>
    <w:rsid w:val="00EA7989"/>
    <w:rsid w:val="00EB528A"/>
    <w:rsid w:val="00EC5D79"/>
    <w:rsid w:val="00EC6F1B"/>
    <w:rsid w:val="00EE760E"/>
    <w:rsid w:val="00EF5344"/>
    <w:rsid w:val="00F1622D"/>
    <w:rsid w:val="00F24391"/>
    <w:rsid w:val="00F967A8"/>
    <w:rsid w:val="00FA283A"/>
    <w:rsid w:val="00FE1C8F"/>
    <w:rsid w:val="02714395"/>
    <w:rsid w:val="0D32133F"/>
    <w:rsid w:val="12CA63C1"/>
    <w:rsid w:val="148532DE"/>
    <w:rsid w:val="164165A8"/>
    <w:rsid w:val="1E220F0E"/>
    <w:rsid w:val="1F152820"/>
    <w:rsid w:val="1FF06735"/>
    <w:rsid w:val="2150666A"/>
    <w:rsid w:val="241C1F5B"/>
    <w:rsid w:val="24356AF4"/>
    <w:rsid w:val="245C2C9F"/>
    <w:rsid w:val="246E3AC2"/>
    <w:rsid w:val="294D4231"/>
    <w:rsid w:val="2C1856FE"/>
    <w:rsid w:val="32AE46C6"/>
    <w:rsid w:val="33567DF3"/>
    <w:rsid w:val="35C01CB2"/>
    <w:rsid w:val="3A810E73"/>
    <w:rsid w:val="3BB80364"/>
    <w:rsid w:val="3FC62F87"/>
    <w:rsid w:val="3FEF5334"/>
    <w:rsid w:val="46532ADD"/>
    <w:rsid w:val="46A57569"/>
    <w:rsid w:val="49CC67AB"/>
    <w:rsid w:val="4E330453"/>
    <w:rsid w:val="4ED95F2B"/>
    <w:rsid w:val="4FEF120F"/>
    <w:rsid w:val="55F60BAF"/>
    <w:rsid w:val="59671D18"/>
    <w:rsid w:val="5CD22809"/>
    <w:rsid w:val="5FFB024A"/>
    <w:rsid w:val="625246E5"/>
    <w:rsid w:val="63672048"/>
    <w:rsid w:val="66C367FA"/>
    <w:rsid w:val="697D4817"/>
    <w:rsid w:val="6CD0096C"/>
    <w:rsid w:val="7B06566B"/>
    <w:rsid w:val="7FFE50E5"/>
    <w:rsid w:val="EBB7FC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link w:val="20"/>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paragraph" w:styleId="6">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2"/>
    <w:qFormat/>
    <w:uiPriority w:val="0"/>
    <w:pPr>
      <w:jc w:val="left"/>
    </w:pPr>
  </w:style>
  <w:style w:type="paragraph" w:styleId="8">
    <w:name w:val="Balloon Text"/>
    <w:basedOn w:val="1"/>
    <w:link w:val="19"/>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annotation subject"/>
    <w:basedOn w:val="7"/>
    <w:next w:val="7"/>
    <w:link w:val="24"/>
    <w:qFormat/>
    <w:uiPriority w:val="0"/>
    <w:rPr>
      <w:b/>
      <w:bCs/>
    </w:rPr>
  </w:style>
  <w:style w:type="table" w:styleId="14">
    <w:name w:val="Table Grid"/>
    <w:basedOn w:val="13"/>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annotation reference"/>
    <w:basedOn w:val="15"/>
    <w:qFormat/>
    <w:uiPriority w:val="0"/>
    <w:rPr>
      <w:sz w:val="21"/>
      <w:szCs w:val="21"/>
    </w:rPr>
  </w:style>
  <w:style w:type="paragraph" w:customStyle="1" w:styleId="18">
    <w:name w:val="null3"/>
    <w:hidden/>
    <w:qFormat/>
    <w:uiPriority w:val="0"/>
    <w:pPr>
      <w:spacing w:after="160" w:line="278" w:lineRule="auto"/>
    </w:pPr>
    <w:rPr>
      <w:rFonts w:hint="eastAsia" w:asciiTheme="minorHAnsi" w:hAnsiTheme="minorHAnsi" w:eastAsiaTheme="minorEastAsia" w:cstheme="minorBidi"/>
      <w:lang w:val="en-US" w:eastAsia="zh-CN" w:bidi="ar-SA"/>
    </w:rPr>
  </w:style>
  <w:style w:type="character" w:customStyle="1" w:styleId="19">
    <w:name w:val="批注框文本 字符"/>
    <w:basedOn w:val="15"/>
    <w:link w:val="8"/>
    <w:qFormat/>
    <w:uiPriority w:val="0"/>
    <w:rPr>
      <w:rFonts w:asciiTheme="minorHAnsi" w:hAnsiTheme="minorHAnsi" w:eastAsiaTheme="minorEastAsia" w:cstheme="minorBidi"/>
      <w:kern w:val="2"/>
      <w:sz w:val="18"/>
      <w:szCs w:val="18"/>
    </w:rPr>
  </w:style>
  <w:style w:type="character" w:customStyle="1" w:styleId="20">
    <w:name w:val="标题 3 字符"/>
    <w:basedOn w:val="15"/>
    <w:link w:val="4"/>
    <w:qFormat/>
    <w:uiPriority w:val="0"/>
    <w:rPr>
      <w:rFonts w:ascii="宋体" w:hAnsi="宋体"/>
      <w:b/>
      <w:bCs/>
      <w:sz w:val="27"/>
      <w:szCs w:val="27"/>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批注文字 字符"/>
    <w:basedOn w:val="15"/>
    <w:link w:val="7"/>
    <w:qFormat/>
    <w:uiPriority w:val="0"/>
    <w:rPr>
      <w:rFonts w:asciiTheme="minorHAnsi" w:hAnsiTheme="minorHAnsi" w:eastAsiaTheme="minorEastAsia" w:cstheme="minorBidi"/>
      <w:kern w:val="2"/>
      <w:sz w:val="21"/>
      <w:szCs w:val="24"/>
    </w:rPr>
  </w:style>
  <w:style w:type="paragraph" w:customStyle="1" w:styleId="23">
    <w:name w:val="修订1"/>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character" w:customStyle="1" w:styleId="24">
    <w:name w:val="批注主题 字符"/>
    <w:basedOn w:val="22"/>
    <w:link w:val="12"/>
    <w:qFormat/>
    <w:uiPriority w:val="0"/>
    <w:rPr>
      <w:rFonts w:asciiTheme="minorHAnsi" w:hAnsiTheme="minorHAnsi" w:eastAsiaTheme="minorEastAsia" w:cstheme="minorBidi"/>
      <w:b/>
      <w:bCs/>
      <w:kern w:val="2"/>
      <w:sz w:val="21"/>
      <w:szCs w:val="24"/>
    </w:rPr>
  </w:style>
  <w:style w:type="paragraph" w:customStyle="1" w:styleId="25">
    <w:name w:val="Revision"/>
    <w:hidden/>
    <w:unhideWhenUsed/>
    <w:qFormat/>
    <w:uiPriority w:val="99"/>
    <w:pPr>
      <w:spacing w:after="0" w:line="240" w:lineRule="auto"/>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77</Pages>
  <Words>4835</Words>
  <Characters>5062</Characters>
  <Lines>429</Lines>
  <Paragraphs>120</Paragraphs>
  <TotalTime>26</TotalTime>
  <ScaleCrop>false</ScaleCrop>
  <LinksUpToDate>false</LinksUpToDate>
  <CharactersWithSpaces>5120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2026-09-07T10:50:00Z</dcterms:created>
  <dc:creator>xiaoxiao</dc:creator>
  <cp:lastModifiedBy>玲珑水瓶</cp:lastModifiedBy>
  <dcterms:modified xsi:type="dcterms:W3CDTF">2026-09-07T14:35:15Z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eyJoZGlkIjoiYjZjNzJjODlhYjgxODQ1YjNiOTI5NDM0YWMwMDhkZGUiLCJ1c2VySWQiOiI3MDk4MTkyMDIifQ==</vt:lpwstr>
  </property>
  <property fmtid="{D5CDD505-2E9C-101B-9397-08002B2CF9AE}" pid="4" name="ICV">
    <vt:lpwstr>87989039E46A4C44B4EEDAEE2EC458FE_13</vt:lpwstr>
  </property>
</Properties>
</file>